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2609E0" w:rsidRDefault="007766B1" w:rsidP="007766B1">
      <w:pPr>
        <w:ind w:left="6237"/>
        <w:jc w:val="both"/>
        <w:rPr>
          <w:sz w:val="28"/>
          <w:szCs w:val="28"/>
        </w:rPr>
      </w:pPr>
      <w:bookmarkStart w:id="0" w:name="_GoBack"/>
      <w:bookmarkEnd w:id="0"/>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к</w:t>
      </w:r>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lastRenderedPageBreak/>
        <w:t>неприостановление</w:t>
      </w:r>
      <w:proofErr w:type="spellEnd"/>
      <w:r w:rsidRPr="002609E0">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r w:rsidRPr="002609E0">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2609E0" w:rsidRDefault="00B5531F" w:rsidP="007766B1">
      <w:pPr>
        <w:pStyle w:val="11"/>
        <w:ind w:firstLine="709"/>
        <w:rPr>
          <w:szCs w:val="28"/>
        </w:rPr>
      </w:pP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Pr="002609E0" w:rsidRDefault="00A04996" w:rsidP="004F275C">
      <w:pPr>
        <w:pStyle w:val="3"/>
        <w:numPr>
          <w:ilvl w:val="1"/>
          <w:numId w:val="2"/>
        </w:numPr>
        <w:spacing w:before="0" w:after="0"/>
        <w:ind w:left="0" w:firstLine="709"/>
        <w:jc w:val="both"/>
        <w:rPr>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t>Протокол  подлежит публикации на сайтах не позднее 3 (трех) дней с даты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Итоговый протокол комиссии размещается на сайтах не позднее 3 (трех) дней с даты подписания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Признание запроса котировок несостоявшимся</w:t>
      </w:r>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r w:rsidRPr="002609E0">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Переторжка в режиме реального времени проводится на ЭТЗП в дату и время, указанные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а) количества предложений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r w:rsidRPr="002609E0">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w:t>
      </w:r>
      <w:r w:rsidR="0047278C" w:rsidRPr="002609E0">
        <w:rPr>
          <w:sz w:val="28"/>
          <w:szCs w:val="28"/>
        </w:rPr>
        <w:t>запроса котировок</w:t>
      </w:r>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2609E0" w:rsidRDefault="00A04996">
      <w:pPr>
        <w:pStyle w:val="a3"/>
        <w:ind w:left="0" w:firstLine="709"/>
        <w:jc w:val="both"/>
        <w:rPr>
          <w:sz w:val="28"/>
          <w:szCs w:val="28"/>
        </w:rPr>
      </w:pPr>
      <w:r w:rsidRPr="002609E0">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r w:rsidRPr="002609E0">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закупка признана несостоявшейся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2609E0" w:rsidRDefault="00A04996" w:rsidP="00AE6ECC">
      <w:pPr>
        <w:autoSpaceDE w:val="0"/>
        <w:autoSpaceDN w:val="0"/>
        <w:adjustRightInd w:val="0"/>
        <w:ind w:firstLine="709"/>
        <w:jc w:val="both"/>
        <w:rPr>
          <w:sz w:val="28"/>
          <w:szCs w:val="28"/>
        </w:rPr>
      </w:pPr>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2609E0">
        <w:rPr>
          <w:sz w:val="28"/>
          <w:szCs w:val="28"/>
        </w:rPr>
        <w:t>апостилированы</w:t>
      </w:r>
      <w:proofErr w:type="spellEnd"/>
      <w:r w:rsidRPr="002609E0">
        <w:rPr>
          <w:sz w:val="28"/>
          <w:szCs w:val="28"/>
        </w:rPr>
        <w:t xml:space="preserve">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sidRPr="002609E0">
        <w:rPr>
          <w:sz w:val="28"/>
          <w:szCs w:val="28"/>
        </w:rPr>
        <w:t>pdf</w:t>
      </w:r>
      <w:proofErr w:type="spellEnd"/>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обеспечение заявки считается непредставленным.</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от заключения договора </w:t>
      </w:r>
      <w:r w:rsidRPr="002609E0">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2609E0">
          <w:rPr>
            <w:sz w:val="28"/>
            <w:szCs w:val="28"/>
          </w:rPr>
          <w:t>www.cbr.ru</w:t>
        </w:r>
      </w:hyperlink>
      <w:r w:rsidR="004F1035" w:rsidRPr="002609E0">
        <w:rPr>
          <w:sz w:val="28"/>
          <w:szCs w:val="28"/>
        </w:rPr>
        <w:t>, или одним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2609E0" w:rsidRDefault="00A04996" w:rsidP="007766B1">
      <w:pPr>
        <w:pStyle w:val="a5"/>
        <w:suppressAutoHyphens/>
        <w:rPr>
          <w:sz w:val="28"/>
          <w:szCs w:val="28"/>
        </w:rPr>
      </w:pPr>
      <w:r w:rsidRPr="002609E0">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2609E0" w:rsidRDefault="00A04996" w:rsidP="00C278B6">
      <w:pPr>
        <w:pStyle w:val="a3"/>
        <w:numPr>
          <w:ilvl w:val="2"/>
          <w:numId w:val="2"/>
        </w:numPr>
        <w:ind w:left="0" w:firstLine="709"/>
        <w:jc w:val="both"/>
        <w:rPr>
          <w:i/>
        </w:rPr>
      </w:pPr>
      <w:r w:rsidRPr="002609E0">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 xml:space="preserve">Факт внесения участником запроса котировок денежных средств в качестве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A04996" w:rsidP="00FA3CB4">
      <w:pPr>
        <w:pStyle w:val="a5"/>
        <w:numPr>
          <w:ilvl w:val="0"/>
          <w:numId w:val="51"/>
        </w:numPr>
        <w:ind w:left="0" w:firstLine="705"/>
        <w:rPr>
          <w:color w:val="000000"/>
          <w:sz w:val="28"/>
          <w:szCs w:val="28"/>
        </w:rPr>
      </w:pPr>
      <w:r w:rsidRPr="002609E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t>Денежные средства, перечисленные ранее,</w:t>
      </w:r>
      <w:r w:rsidRPr="002609E0">
        <w:rPr>
          <w:spacing w:val="-2"/>
          <w:sz w:val="28"/>
          <w:szCs w:val="28"/>
        </w:rPr>
        <w:t xml:space="preserve"> </w:t>
      </w:r>
      <w:r w:rsidRPr="002609E0">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 xml:space="preserve">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с которым заключается договор</w:t>
      </w:r>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r w:rsidRPr="002609E0">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80615" w:rsidRPr="002609E0" w:rsidRDefault="00A04996">
      <w:pPr>
        <w:pStyle w:val="a3"/>
        <w:numPr>
          <w:ilvl w:val="2"/>
          <w:numId w:val="2"/>
        </w:numPr>
        <w:ind w:left="0" w:firstLine="709"/>
        <w:jc w:val="both"/>
        <w:rPr>
          <w:sz w:val="28"/>
          <w:szCs w:val="28"/>
        </w:rPr>
      </w:pPr>
      <w:r w:rsidRPr="002609E0">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52CCF" w:rsidRDefault="00A52CCF">
      <w:pPr>
        <w:pStyle w:val="a3"/>
        <w:ind w:left="0" w:firstLine="709"/>
        <w:jc w:val="both"/>
        <w:rPr>
          <w:i/>
          <w:sz w:val="28"/>
          <w:szCs w:val="28"/>
        </w:rPr>
      </w:pPr>
    </w:p>
    <w:p w:rsidR="00A52CCF" w:rsidRDefault="00A52CCF">
      <w:pPr>
        <w:pStyle w:val="a3"/>
        <w:ind w:left="0" w:firstLine="709"/>
        <w:jc w:val="both"/>
        <w:rPr>
          <w:i/>
          <w:sz w:val="28"/>
          <w:szCs w:val="28"/>
        </w:rPr>
      </w:pP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69468B">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69468B">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69468B">
            <w:pPr>
              <w:widowControl w:val="0"/>
              <w:ind w:firstLine="851"/>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62C35" w:rsidRPr="002609E0" w:rsidRDefault="00462C35" w:rsidP="00231372">
      <w:pPr>
        <w:pStyle w:val="a3"/>
        <w:widowControl w:val="0"/>
        <w:numPr>
          <w:ilvl w:val="0"/>
          <w:numId w:val="52"/>
        </w:numPr>
        <w:ind w:left="0" w:firstLine="851"/>
        <w:jc w:val="both"/>
        <w:rPr>
          <w:sz w:val="28"/>
          <w:szCs w:val="28"/>
        </w:rPr>
      </w:pPr>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462C35" w:rsidRPr="002609E0" w:rsidRDefault="00462C35" w:rsidP="00462C35">
      <w:pPr>
        <w:pStyle w:val="a3"/>
        <w:widowControl w:val="0"/>
        <w:numPr>
          <w:ilvl w:val="0"/>
          <w:numId w:val="58"/>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firstRow="1" w:lastRow="0" w:firstColumn="1" w:lastColumn="0" w:noHBand="0" w:noVBand="1"/>
      </w:tblPr>
      <w:tblGrid>
        <w:gridCol w:w="3116"/>
        <w:gridCol w:w="3296"/>
        <w:gridCol w:w="294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462C35">
      <w:pPr>
        <w:widowControl w:val="0"/>
        <w:shd w:val="clear" w:color="auto" w:fill="FFFFFF"/>
        <w:tabs>
          <w:tab w:val="decimal" w:pos="9923"/>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69468B">
            <w:pPr>
              <w:pStyle w:val="a3"/>
              <w:widowControl w:val="0"/>
              <w:ind w:left="0" w:firstLine="709"/>
              <w:jc w:val="both"/>
              <w:rPr>
                <w:sz w:val="28"/>
                <w:szCs w:val="28"/>
              </w:rPr>
            </w:pPr>
          </w:p>
        </w:tc>
      </w:tr>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69468B">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lang w:val="en-US"/>
              </w:rPr>
            </w:pPr>
            <w:proofErr w:type="spellStart"/>
            <w:r w:rsidRPr="002609E0">
              <w:rPr>
                <w:sz w:val="28"/>
                <w:szCs w:val="28"/>
                <w:lang w:val="en-US"/>
              </w:rPr>
              <w:t>Срок</w:t>
            </w:r>
            <w:proofErr w:type="spellEnd"/>
            <w:r w:rsidRPr="002609E0">
              <w:rPr>
                <w:sz w:val="28"/>
                <w:szCs w:val="28"/>
                <w:lang w:val="en-US"/>
              </w:rPr>
              <w:t xml:space="preserve"> </w:t>
            </w:r>
            <w:proofErr w:type="spellStart"/>
            <w:r w:rsidRPr="002609E0">
              <w:rPr>
                <w:sz w:val="28"/>
                <w:szCs w:val="28"/>
                <w:lang w:val="en-US"/>
              </w:rPr>
              <w:t>действия</w:t>
            </w:r>
            <w:proofErr w:type="spellEnd"/>
            <w:r w:rsidRPr="002609E0">
              <w:rPr>
                <w:sz w:val="28"/>
                <w:szCs w:val="28"/>
                <w:lang w:val="en-US"/>
              </w:rPr>
              <w:t xml:space="preserve"> </w:t>
            </w:r>
            <w:proofErr w:type="spellStart"/>
            <w:r w:rsidRPr="002609E0">
              <w:rPr>
                <w:sz w:val="28"/>
                <w:szCs w:val="28"/>
                <w:lang w:val="en-US"/>
              </w:rPr>
              <w:t>Гарантии</w:t>
            </w:r>
            <w:proofErr w:type="spellEnd"/>
          </w:p>
        </w:tc>
        <w:tc>
          <w:tcPr>
            <w:tcW w:w="7335" w:type="dxa"/>
          </w:tcPr>
          <w:p w:rsidR="00462C35" w:rsidRPr="002609E0" w:rsidRDefault="00462C35" w:rsidP="0069468B">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или с даты выдачи (выбрать нужное)</w:t>
            </w:r>
            <w:r w:rsidRPr="002609E0">
              <w:rPr>
                <w:sz w:val="28"/>
                <w:szCs w:val="28"/>
              </w:rPr>
              <w:t xml:space="preserve"> и действует до «__»_______20__года включительно. </w:t>
            </w:r>
          </w:p>
          <w:p w:rsidR="00462C35" w:rsidRPr="002609E0" w:rsidRDefault="00462C35" w:rsidP="0069468B">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69468B">
            <w:pPr>
              <w:widowControl w:val="0"/>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ind w:firstLine="709"/>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r w:rsidRPr="002609E0">
              <w:rPr>
                <w:sz w:val="28"/>
                <w:szCs w:val="28"/>
              </w:rPr>
              <w:t>Представитель ______________________</w:t>
            </w:r>
          </w:p>
        </w:tc>
        <w:tc>
          <w:tcPr>
            <w:tcW w:w="2552" w:type="dxa"/>
          </w:tcPr>
          <w:p w:rsidR="00462C35" w:rsidRPr="002609E0" w:rsidRDefault="00462C35" w:rsidP="0069468B">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6A" w:rsidRDefault="00A9366A" w:rsidP="00033DA1">
      <w:r>
        <w:separator/>
      </w:r>
    </w:p>
  </w:endnote>
  <w:endnote w:type="continuationSeparator" w:id="0">
    <w:p w:rsidR="00A9366A" w:rsidRDefault="00A9366A"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6A" w:rsidRDefault="00A9366A" w:rsidP="00033DA1">
      <w:r>
        <w:separator/>
      </w:r>
    </w:p>
  </w:footnote>
  <w:footnote w:type="continuationSeparator" w:id="0">
    <w:p w:rsidR="00A9366A" w:rsidRDefault="00A9366A" w:rsidP="00033DA1">
      <w:r>
        <w:continuationSeparator/>
      </w:r>
    </w:p>
  </w:footnote>
  <w:footnote w:id="1">
    <w:p w:rsidR="00D223D8" w:rsidRPr="00FA27A5" w:rsidRDefault="00D223D8"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223D8" w:rsidRPr="00B377A4" w:rsidRDefault="00D223D8"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128AB"/>
    <w:rsid w:val="00120E13"/>
    <w:rsid w:val="00122575"/>
    <w:rsid w:val="00130D5F"/>
    <w:rsid w:val="00136A25"/>
    <w:rsid w:val="001403FF"/>
    <w:rsid w:val="00140B92"/>
    <w:rsid w:val="00141448"/>
    <w:rsid w:val="00153BCB"/>
    <w:rsid w:val="001633EE"/>
    <w:rsid w:val="00164838"/>
    <w:rsid w:val="001661DB"/>
    <w:rsid w:val="00166B73"/>
    <w:rsid w:val="0017044E"/>
    <w:rsid w:val="001725B2"/>
    <w:rsid w:val="00172DE6"/>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7754E"/>
    <w:rsid w:val="006866E5"/>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46933"/>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44B9"/>
    <w:rsid w:val="0089520E"/>
    <w:rsid w:val="008A204A"/>
    <w:rsid w:val="008A5283"/>
    <w:rsid w:val="008B1E0F"/>
    <w:rsid w:val="008B209C"/>
    <w:rsid w:val="008B32C0"/>
    <w:rsid w:val="008C5686"/>
    <w:rsid w:val="008C6CFE"/>
    <w:rsid w:val="008C7041"/>
    <w:rsid w:val="008F3EFE"/>
    <w:rsid w:val="008F4850"/>
    <w:rsid w:val="008F5F8F"/>
    <w:rsid w:val="008F72BC"/>
    <w:rsid w:val="00921DFA"/>
    <w:rsid w:val="009265D4"/>
    <w:rsid w:val="00943A3C"/>
    <w:rsid w:val="009460C5"/>
    <w:rsid w:val="00964013"/>
    <w:rsid w:val="00971954"/>
    <w:rsid w:val="009775DF"/>
    <w:rsid w:val="00981A88"/>
    <w:rsid w:val="0098385F"/>
    <w:rsid w:val="009839FD"/>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52CCF"/>
    <w:rsid w:val="00A844D5"/>
    <w:rsid w:val="00A865A4"/>
    <w:rsid w:val="00A91739"/>
    <w:rsid w:val="00A91AD5"/>
    <w:rsid w:val="00A9366A"/>
    <w:rsid w:val="00A97DCD"/>
    <w:rsid w:val="00AA386F"/>
    <w:rsid w:val="00AA5486"/>
    <w:rsid w:val="00AC03A3"/>
    <w:rsid w:val="00AC6255"/>
    <w:rsid w:val="00AC6DE5"/>
    <w:rsid w:val="00AE2922"/>
    <w:rsid w:val="00AE328D"/>
    <w:rsid w:val="00AE3680"/>
    <w:rsid w:val="00AE6ECC"/>
    <w:rsid w:val="00AE7235"/>
    <w:rsid w:val="00AF4080"/>
    <w:rsid w:val="00AF4A10"/>
    <w:rsid w:val="00B03C21"/>
    <w:rsid w:val="00B07496"/>
    <w:rsid w:val="00B100C0"/>
    <w:rsid w:val="00B14B5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940"/>
    <w:rsid w:val="00CA5A89"/>
    <w:rsid w:val="00CB162A"/>
    <w:rsid w:val="00CC0471"/>
    <w:rsid w:val="00CC2A67"/>
    <w:rsid w:val="00CC7E76"/>
    <w:rsid w:val="00CD1BC2"/>
    <w:rsid w:val="00CD5AD5"/>
    <w:rsid w:val="00CD5BE0"/>
    <w:rsid w:val="00CF0691"/>
    <w:rsid w:val="00D027CC"/>
    <w:rsid w:val="00D07D64"/>
    <w:rsid w:val="00D133C4"/>
    <w:rsid w:val="00D15335"/>
    <w:rsid w:val="00D21A1E"/>
    <w:rsid w:val="00D223D8"/>
    <w:rsid w:val="00D22E98"/>
    <w:rsid w:val="00D2706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2004"/>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30E83-767F-4953-8F3E-69A4BE5F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18058</Words>
  <Characters>102933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Иванова Ксения Сергеевна</cp:lastModifiedBy>
  <cp:revision>2</cp:revision>
  <cp:lastPrinted>2020-10-22T01:37:00Z</cp:lastPrinted>
  <dcterms:created xsi:type="dcterms:W3CDTF">2020-10-29T21:46:00Z</dcterms:created>
  <dcterms:modified xsi:type="dcterms:W3CDTF">2020-10-29T21:46:00Z</dcterms:modified>
</cp:coreProperties>
</file>