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4E" w:rsidRDefault="009B3C4E" w:rsidP="00343AAF">
      <w:pPr>
        <w:jc w:val="right"/>
      </w:pPr>
      <w:bookmarkStart w:id="0" w:name="_GoBack"/>
      <w:bookmarkEnd w:id="0"/>
    </w:p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5D6409" w:rsidRDefault="00343AAF" w:rsidP="005D6409">
      <w:pPr>
        <w:jc w:val="center"/>
        <w:rPr>
          <w:b/>
          <w:bCs/>
        </w:rPr>
      </w:pPr>
      <w:r w:rsidRPr="00700F44">
        <w:rPr>
          <w:b/>
        </w:rPr>
        <w:t xml:space="preserve">в </w:t>
      </w:r>
      <w:r w:rsidR="005B4409">
        <w:rPr>
          <w:b/>
        </w:rPr>
        <w:t xml:space="preserve">извещение и </w:t>
      </w:r>
      <w:r w:rsidRPr="00700F44">
        <w:rPr>
          <w:b/>
        </w:rPr>
        <w:t>аукционную документацию по о</w:t>
      </w:r>
      <w:r w:rsidRPr="00700F44">
        <w:rPr>
          <w:b/>
          <w:bCs/>
        </w:rPr>
        <w:t xml:space="preserve">ткрытому </w:t>
      </w:r>
      <w:r w:rsidR="00DA073D" w:rsidRPr="00DA073D">
        <w:rPr>
          <w:b/>
          <w:bCs/>
        </w:rPr>
        <w:t>аукцион</w:t>
      </w:r>
      <w:r w:rsidR="00DA073D">
        <w:rPr>
          <w:b/>
          <w:bCs/>
        </w:rPr>
        <w:t>у</w:t>
      </w:r>
      <w:r w:rsidR="005D6409">
        <w:rPr>
          <w:b/>
          <w:bCs/>
        </w:rPr>
        <w:t xml:space="preserve"> </w:t>
      </w:r>
    </w:p>
    <w:p w:rsidR="005D6409" w:rsidRPr="005D6409" w:rsidRDefault="005D6409" w:rsidP="005D6409">
      <w:pPr>
        <w:jc w:val="center"/>
        <w:rPr>
          <w:b/>
          <w:bCs/>
        </w:rPr>
      </w:pPr>
      <w:r>
        <w:rPr>
          <w:b/>
          <w:bCs/>
        </w:rPr>
        <w:t xml:space="preserve">в электронной форме, </w:t>
      </w:r>
      <w:r w:rsidRPr="005D6409">
        <w:rPr>
          <w:b/>
          <w:bCs/>
        </w:rPr>
        <w:t>участниками которого вправе быть исключительно субъекты малого и среднего предпринимательства, № 41/ОАЭ-ПКС/Т</w:t>
      </w:r>
    </w:p>
    <w:p w:rsidR="00343AAF" w:rsidRPr="00700F44" w:rsidRDefault="005D6409" w:rsidP="005D6409">
      <w:pPr>
        <w:jc w:val="center"/>
        <w:rPr>
          <w:b/>
          <w:bCs/>
        </w:rPr>
      </w:pPr>
      <w:r w:rsidRPr="005D6409">
        <w:rPr>
          <w:b/>
          <w:bCs/>
        </w:rPr>
        <w:t>на право заключения договора поставки резинотехнических изделий</w:t>
      </w:r>
      <w:r w:rsidR="00156B4D">
        <w:rPr>
          <w:b/>
        </w:rPr>
        <w:t xml:space="preserve"> </w:t>
      </w: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5B4409" w:rsidRPr="00733CDD" w:rsidRDefault="005B4409" w:rsidP="005B440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33CDD">
        <w:rPr>
          <w:b/>
          <w:i/>
          <w:color w:val="000000"/>
        </w:rPr>
        <w:t>Изменения в извещение:</w:t>
      </w:r>
    </w:p>
    <w:p w:rsidR="005B4409" w:rsidRPr="005B4409" w:rsidRDefault="005B4409" w:rsidP="005B440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B4409" w:rsidRPr="005B4409" w:rsidRDefault="005B4409" w:rsidP="00753A7B">
      <w:pPr>
        <w:spacing w:line="0" w:lineRule="atLeast"/>
        <w:jc w:val="both"/>
        <w:rPr>
          <w:b/>
          <w:i/>
        </w:rPr>
      </w:pPr>
      <w:bookmarkStart w:id="1" w:name="_Hlk2258305"/>
      <w:r w:rsidRPr="005B4409">
        <w:rPr>
          <w:b/>
          <w:i/>
          <w:color w:val="000000"/>
        </w:rPr>
        <w:t xml:space="preserve">Позиции </w:t>
      </w:r>
      <w:r>
        <w:rPr>
          <w:b/>
          <w:i/>
          <w:color w:val="000000"/>
        </w:rPr>
        <w:t xml:space="preserve">№ </w:t>
      </w:r>
      <w:r w:rsidRPr="005B4409">
        <w:rPr>
          <w:b/>
          <w:i/>
        </w:rPr>
        <w:t>11 и № 12 изложить в следующей редакции: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110"/>
        <w:gridCol w:w="2295"/>
        <w:gridCol w:w="6660"/>
      </w:tblGrid>
      <w:tr w:rsidR="00AB28D8" w:rsidRPr="005B4409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8" w:rsidRPr="00757DEE" w:rsidRDefault="00AB28D8" w:rsidP="00AA6501">
            <w:pPr>
              <w:jc w:val="center"/>
              <w:rPr>
                <w:bCs/>
              </w:rPr>
            </w:pPr>
            <w:bookmarkStart w:id="2" w:name="_Hlk2258334"/>
            <w:bookmarkEnd w:id="1"/>
            <w:r w:rsidRPr="00757DEE">
              <w:rPr>
                <w:bCs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8" w:rsidRPr="00757DEE" w:rsidRDefault="00AB28D8" w:rsidP="00AA6501">
            <w:pPr>
              <w:jc w:val="center"/>
              <w:rPr>
                <w:bCs/>
              </w:rPr>
            </w:pPr>
            <w:r w:rsidRPr="00757DEE">
              <w:rPr>
                <w:bCs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8" w:rsidRPr="00757DEE" w:rsidRDefault="00AB28D8" w:rsidP="00AA6501">
            <w:pPr>
              <w:jc w:val="both"/>
              <w:rPr>
                <w:b/>
                <w:bCs/>
              </w:rPr>
            </w:pPr>
            <w:r w:rsidRPr="00757DEE">
              <w:t>Дата начала подачи заявок - с момента опубликования извещения</w:t>
            </w:r>
            <w:r w:rsidRPr="00757DEE">
              <w:rPr>
                <w:bCs/>
              </w:rPr>
              <w:t xml:space="preserve"> и документации </w:t>
            </w:r>
            <w:r w:rsidRPr="00757DEE">
              <w:t>на сайтах</w:t>
            </w:r>
            <w:r w:rsidRPr="00757DEE">
              <w:rPr>
                <w:b/>
                <w:bCs/>
              </w:rPr>
              <w:t xml:space="preserve"> </w:t>
            </w:r>
            <w:r w:rsidRPr="00757DEE">
              <w:rPr>
                <w:b/>
                <w:bCs/>
                <w:i/>
              </w:rPr>
              <w:t xml:space="preserve">– </w:t>
            </w:r>
            <w:r w:rsidRPr="00757DEE">
              <w:rPr>
                <w:b/>
                <w:bCs/>
              </w:rPr>
              <w:t>«03» августа 2020 года</w:t>
            </w:r>
            <w:r w:rsidRPr="00757DEE">
              <w:rPr>
                <w:b/>
                <w:bCs/>
                <w:i/>
              </w:rPr>
              <w:t>.</w:t>
            </w:r>
          </w:p>
          <w:p w:rsidR="00AB28D8" w:rsidRPr="00757DEE" w:rsidRDefault="00AB28D8" w:rsidP="00AA6501">
            <w:pPr>
              <w:jc w:val="both"/>
              <w:rPr>
                <w:bCs/>
                <w:i/>
              </w:rPr>
            </w:pPr>
            <w:r w:rsidRPr="00757DEE">
              <w:t>Дата окончания срока подачи заявок –</w:t>
            </w:r>
            <w:r w:rsidRPr="00757DEE">
              <w:rPr>
                <w:b/>
                <w:bCs/>
              </w:rPr>
              <w:t xml:space="preserve"> «2</w:t>
            </w:r>
            <w:r w:rsidR="001A002B" w:rsidRPr="00757DEE">
              <w:rPr>
                <w:b/>
                <w:bCs/>
              </w:rPr>
              <w:t>4</w:t>
            </w:r>
            <w:r w:rsidRPr="00757DEE">
              <w:rPr>
                <w:b/>
                <w:bCs/>
              </w:rPr>
              <w:t>» августа 2020 года</w:t>
            </w:r>
            <w:r w:rsidRPr="00757DEE">
              <w:rPr>
                <w:b/>
                <w:bCs/>
                <w:i/>
              </w:rPr>
              <w:t xml:space="preserve"> </w:t>
            </w:r>
            <w:r w:rsidRPr="00757DEE">
              <w:rPr>
                <w:bCs/>
              </w:rPr>
              <w:t xml:space="preserve">в </w:t>
            </w:r>
            <w:r w:rsidRPr="00757DEE">
              <w:rPr>
                <w:b/>
                <w:bCs/>
              </w:rPr>
              <w:t>02:00</w:t>
            </w:r>
            <w:r w:rsidRPr="00757DEE">
              <w:rPr>
                <w:bCs/>
              </w:rPr>
              <w:t xml:space="preserve"> ч. московского времени. </w:t>
            </w:r>
          </w:p>
          <w:p w:rsidR="00AB28D8" w:rsidRPr="00757DEE" w:rsidRDefault="00AB28D8" w:rsidP="00AA6501">
            <w:pPr>
              <w:jc w:val="both"/>
              <w:rPr>
                <w:bCs/>
              </w:rPr>
            </w:pPr>
            <w:r w:rsidRPr="00757DEE">
              <w:rPr>
                <w:bCs/>
              </w:rPr>
              <w:t xml:space="preserve">Заявки на участие в аукционе </w:t>
            </w:r>
            <w:r w:rsidRPr="00757DEE">
              <w:rPr>
                <w:b/>
                <w:bCs/>
              </w:rPr>
              <w:t>№ 41/ОАЭ-ПКС/Т</w:t>
            </w:r>
            <w:r w:rsidRPr="00757DEE">
              <w:rPr>
                <w:bCs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AB28D8" w:rsidRPr="00757DEE" w:rsidRDefault="00AB28D8" w:rsidP="00AA6501">
            <w:pPr>
              <w:jc w:val="both"/>
              <w:rPr>
                <w:bCs/>
              </w:rPr>
            </w:pPr>
            <w:r w:rsidRPr="00757DEE">
              <w:rPr>
                <w:bCs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AB28D8" w:rsidRPr="005B4409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8" w:rsidRPr="00757DEE" w:rsidRDefault="00AB28D8" w:rsidP="00AA6501">
            <w:pPr>
              <w:jc w:val="center"/>
              <w:rPr>
                <w:bCs/>
              </w:rPr>
            </w:pPr>
            <w:r w:rsidRPr="00757DEE">
              <w:rPr>
                <w:bCs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8" w:rsidRPr="00757DEE" w:rsidRDefault="00AB28D8" w:rsidP="00AA6501">
            <w:pPr>
              <w:jc w:val="center"/>
              <w:rPr>
                <w:bCs/>
              </w:rPr>
            </w:pPr>
            <w:r w:rsidRPr="00757DEE">
              <w:rPr>
                <w:bCs/>
              </w:rPr>
              <w:t>Порядок подведения итогов закупки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8" w:rsidRPr="00757DEE" w:rsidRDefault="00AB28D8" w:rsidP="00AA6501">
            <w:pPr>
              <w:jc w:val="both"/>
              <w:rPr>
                <w:bCs/>
              </w:rPr>
            </w:pPr>
            <w:r w:rsidRPr="00757DEE">
              <w:rPr>
                <w:bCs/>
              </w:rPr>
              <w:t xml:space="preserve">Рассмотрение первых частей заявок осуществляется </w:t>
            </w:r>
            <w:r w:rsidRPr="00757DEE">
              <w:rPr>
                <w:b/>
                <w:bCs/>
              </w:rPr>
              <w:t>«2</w:t>
            </w:r>
            <w:r w:rsidR="001A002B" w:rsidRPr="00757DEE">
              <w:rPr>
                <w:b/>
                <w:bCs/>
              </w:rPr>
              <w:t>6</w:t>
            </w:r>
            <w:r w:rsidRPr="00757DEE">
              <w:rPr>
                <w:b/>
                <w:bCs/>
              </w:rPr>
              <w:t>» августа 2020 г.</w:t>
            </w:r>
          </w:p>
          <w:p w:rsidR="00AB28D8" w:rsidRPr="00757DEE" w:rsidRDefault="00AB28D8" w:rsidP="00AA6501">
            <w:pPr>
              <w:jc w:val="both"/>
              <w:rPr>
                <w:bCs/>
              </w:rPr>
            </w:pPr>
            <w:r w:rsidRPr="00757DEE">
              <w:rPr>
                <w:bCs/>
              </w:rPr>
              <w:t xml:space="preserve">Дата и время начала аукциона </w:t>
            </w:r>
            <w:r w:rsidRPr="00757DEE">
              <w:rPr>
                <w:b/>
                <w:bCs/>
              </w:rPr>
              <w:t>«2</w:t>
            </w:r>
            <w:r w:rsidR="001A002B" w:rsidRPr="00757DEE">
              <w:rPr>
                <w:b/>
                <w:bCs/>
              </w:rPr>
              <w:t>8</w:t>
            </w:r>
            <w:r w:rsidRPr="00757DEE">
              <w:rPr>
                <w:b/>
                <w:bCs/>
              </w:rPr>
              <w:t>» августа 2020 г.</w:t>
            </w:r>
            <w:r w:rsidRPr="00757DEE">
              <w:rPr>
                <w:bCs/>
              </w:rPr>
              <w:t xml:space="preserve"> в </w:t>
            </w:r>
            <w:r w:rsidRPr="00757DEE">
              <w:rPr>
                <w:b/>
                <w:bCs/>
              </w:rPr>
              <w:t>09:00</w:t>
            </w:r>
            <w:r w:rsidRPr="00757DEE">
              <w:rPr>
                <w:bCs/>
              </w:rPr>
              <w:t xml:space="preserve"> ч. московского времени.</w:t>
            </w:r>
          </w:p>
          <w:p w:rsidR="00AB28D8" w:rsidRPr="00757DEE" w:rsidRDefault="00AB28D8" w:rsidP="00AA6501">
            <w:pPr>
              <w:jc w:val="both"/>
              <w:rPr>
                <w:bCs/>
              </w:rPr>
            </w:pPr>
            <w:r w:rsidRPr="00757DEE">
              <w:rPr>
                <w:bCs/>
              </w:rPr>
              <w:t xml:space="preserve">Рассмотрение вторых частей заявок осуществляется </w:t>
            </w:r>
            <w:r w:rsidRPr="00757DEE">
              <w:rPr>
                <w:b/>
                <w:bCs/>
              </w:rPr>
              <w:t>«</w:t>
            </w:r>
            <w:r w:rsidR="001A002B" w:rsidRPr="00757DEE">
              <w:rPr>
                <w:b/>
                <w:bCs/>
              </w:rPr>
              <w:t>0</w:t>
            </w:r>
            <w:r w:rsidRPr="00757DEE">
              <w:rPr>
                <w:b/>
                <w:bCs/>
              </w:rPr>
              <w:t xml:space="preserve">1» </w:t>
            </w:r>
            <w:r w:rsidR="001A002B" w:rsidRPr="00757DEE">
              <w:rPr>
                <w:b/>
                <w:bCs/>
              </w:rPr>
              <w:t xml:space="preserve">сентября </w:t>
            </w:r>
            <w:r w:rsidRPr="00757DEE">
              <w:rPr>
                <w:b/>
                <w:bCs/>
              </w:rPr>
              <w:t>2020 г.</w:t>
            </w:r>
          </w:p>
          <w:p w:rsidR="00AB28D8" w:rsidRPr="00757DEE" w:rsidRDefault="00AB28D8" w:rsidP="00AA6501">
            <w:pPr>
              <w:jc w:val="both"/>
              <w:rPr>
                <w:bCs/>
              </w:rPr>
            </w:pPr>
            <w:r w:rsidRPr="00757DEE">
              <w:rPr>
                <w:bCs/>
              </w:rPr>
              <w:t xml:space="preserve">Подведение итогов закупки осуществляется </w:t>
            </w:r>
            <w:r w:rsidRPr="00757DEE">
              <w:rPr>
                <w:b/>
                <w:bCs/>
              </w:rPr>
              <w:t>«</w:t>
            </w:r>
            <w:r w:rsidR="001A002B" w:rsidRPr="00757DEE">
              <w:rPr>
                <w:b/>
                <w:bCs/>
              </w:rPr>
              <w:t>0</w:t>
            </w:r>
            <w:r w:rsidRPr="00757DEE">
              <w:rPr>
                <w:b/>
                <w:bCs/>
              </w:rPr>
              <w:t xml:space="preserve">1» </w:t>
            </w:r>
            <w:r w:rsidR="001A002B" w:rsidRPr="00757DEE">
              <w:rPr>
                <w:b/>
                <w:bCs/>
              </w:rPr>
              <w:t xml:space="preserve">сентября </w:t>
            </w:r>
            <w:r w:rsidRPr="00757DEE">
              <w:rPr>
                <w:b/>
                <w:bCs/>
              </w:rPr>
              <w:t>2020 г.</w:t>
            </w:r>
          </w:p>
          <w:p w:rsidR="00AB28D8" w:rsidRPr="00757DEE" w:rsidRDefault="00AB28D8" w:rsidP="00AA6501">
            <w:pPr>
              <w:jc w:val="both"/>
              <w:rPr>
                <w:bCs/>
              </w:rPr>
            </w:pPr>
            <w:r w:rsidRPr="00757DEE">
              <w:rPr>
                <w:bCs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2"/>
    </w:tbl>
    <w:p w:rsidR="005B4409" w:rsidRPr="005B4409" w:rsidRDefault="005B4409" w:rsidP="00343AAF">
      <w:pPr>
        <w:ind w:firstLine="709"/>
        <w:jc w:val="center"/>
        <w:rPr>
          <w:b/>
          <w:bCs/>
        </w:rPr>
      </w:pPr>
    </w:p>
    <w:p w:rsidR="00770A97" w:rsidRDefault="005B4409" w:rsidP="00770A97">
      <w:pPr>
        <w:jc w:val="both"/>
        <w:rPr>
          <w:b/>
          <w:i/>
        </w:rPr>
      </w:pPr>
      <w:r w:rsidRPr="00733CDD">
        <w:rPr>
          <w:b/>
          <w:i/>
        </w:rPr>
        <w:t>2</w:t>
      </w:r>
      <w:r w:rsidR="00343AAF" w:rsidRPr="00733CDD">
        <w:rPr>
          <w:b/>
          <w:i/>
        </w:rPr>
        <w:t xml:space="preserve">. </w:t>
      </w:r>
      <w:r w:rsidR="00343AAF" w:rsidRPr="00733CDD">
        <w:rPr>
          <w:b/>
          <w:bCs/>
          <w:i/>
        </w:rPr>
        <w:t>Изменения в</w:t>
      </w:r>
      <w:r w:rsidR="00343AAF" w:rsidRPr="00733CDD">
        <w:rPr>
          <w:b/>
          <w:i/>
        </w:rPr>
        <w:t xml:space="preserve"> аукционную документацию:</w:t>
      </w:r>
    </w:p>
    <w:p w:rsidR="00733CDD" w:rsidRPr="00733CDD" w:rsidRDefault="00733CDD" w:rsidP="00770A97">
      <w:pPr>
        <w:jc w:val="both"/>
        <w:rPr>
          <w:b/>
          <w:i/>
        </w:rPr>
      </w:pPr>
    </w:p>
    <w:p w:rsidR="00733CDD" w:rsidRDefault="00733CDD" w:rsidP="00770A97">
      <w:pPr>
        <w:jc w:val="both"/>
        <w:rPr>
          <w:bCs/>
          <w:iCs/>
        </w:rPr>
      </w:pPr>
      <w:r w:rsidRPr="00733CDD">
        <w:rPr>
          <w:b/>
        </w:rPr>
        <w:t>Пункты 2.2, 2.3</w:t>
      </w:r>
      <w:r w:rsidR="00AB28D8">
        <w:rPr>
          <w:b/>
        </w:rPr>
        <w:t>, 2.4</w:t>
      </w:r>
      <w:r w:rsidRPr="00733CDD">
        <w:rPr>
          <w:b/>
        </w:rPr>
        <w:t xml:space="preserve"> Части 2. </w:t>
      </w:r>
      <w:r w:rsidRPr="00733CDD">
        <w:rPr>
          <w:b/>
          <w:bCs/>
          <w:iCs/>
        </w:rPr>
        <w:t>Сроки проведения закупки, контактные данные изложить в следующей редакции</w:t>
      </w:r>
      <w:r>
        <w:rPr>
          <w:bCs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876"/>
        <w:gridCol w:w="6085"/>
      </w:tblGrid>
      <w:tr w:rsidR="00AB28D8" w:rsidRPr="00D123DF" w:rsidTr="002F57FD">
        <w:tc>
          <w:tcPr>
            <w:tcW w:w="672" w:type="dxa"/>
          </w:tcPr>
          <w:p w:rsidR="00AB28D8" w:rsidRPr="00AB28D8" w:rsidRDefault="00AB28D8" w:rsidP="00AA6501">
            <w:r w:rsidRPr="00AB28D8">
              <w:t>2.2</w:t>
            </w:r>
          </w:p>
        </w:tc>
        <w:tc>
          <w:tcPr>
            <w:tcW w:w="2924" w:type="dxa"/>
          </w:tcPr>
          <w:p w:rsidR="00AB28D8" w:rsidRPr="00AB28D8" w:rsidRDefault="00AB28D8" w:rsidP="00AA6501">
            <w:r w:rsidRPr="00AB28D8">
              <w:t>Порядок, место, дата начала и окончания срока подачи заявок</w:t>
            </w:r>
          </w:p>
        </w:tc>
        <w:tc>
          <w:tcPr>
            <w:tcW w:w="6257" w:type="dxa"/>
          </w:tcPr>
          <w:p w:rsidR="00AB28D8" w:rsidRPr="00AB28D8" w:rsidRDefault="00AB28D8" w:rsidP="00AA6501">
            <w:pPr>
              <w:ind w:firstLine="709"/>
              <w:jc w:val="both"/>
              <w:rPr>
                <w:bCs/>
                <w:i/>
              </w:rPr>
            </w:pPr>
            <w:r w:rsidRPr="00AB28D8">
              <w:rPr>
                <w:bCs/>
              </w:rPr>
              <w:t xml:space="preserve">Заявки (части заявок) подаются в порядке, указанном в пункте 3.14 аукционной документации, на электронной площадке «РТС-тендер» (на странице данного аукциона на сайте </w:t>
            </w:r>
            <w:r w:rsidRPr="00AB28D8">
              <w:t xml:space="preserve"> </w:t>
            </w:r>
            <w:r w:rsidRPr="00AB28D8">
              <w:rPr>
                <w:bCs/>
              </w:rPr>
              <w:t xml:space="preserve">https://www.rts-tender.ru) (далее – электронная площадка, ЭТЗП, сайт ЭТЗП). </w:t>
            </w:r>
          </w:p>
          <w:p w:rsidR="00AB28D8" w:rsidRPr="00AB28D8" w:rsidRDefault="00AB28D8" w:rsidP="00AA6501">
            <w:pPr>
              <w:ind w:firstLine="709"/>
              <w:jc w:val="both"/>
              <w:rPr>
                <w:bCs/>
                <w:i/>
              </w:rPr>
            </w:pPr>
            <w:r w:rsidRPr="00AB28D8">
              <w:rPr>
                <w:bCs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AB28D8">
              <w:t>далее – единая информационная система, ЕИС</w:t>
            </w:r>
            <w:r w:rsidRPr="00AB28D8">
              <w:rPr>
                <w:bCs/>
              </w:rPr>
              <w:t>), на сайте</w:t>
            </w:r>
            <w:r w:rsidRPr="00AB28D8">
              <w:t xml:space="preserve"> </w:t>
            </w:r>
            <w:r w:rsidRPr="00AB28D8">
              <w:rPr>
                <w:bCs/>
              </w:rPr>
              <w:t>Заказчика</w:t>
            </w:r>
            <w:r w:rsidRPr="00AB28D8">
              <w:rPr>
                <w:bCs/>
                <w:i/>
              </w:rPr>
              <w:t xml:space="preserve"> </w:t>
            </w:r>
            <w:hyperlink r:id="rId5" w:history="1">
              <w:r w:rsidRPr="00AB28D8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Pr="00AB28D8">
                <w:rPr>
                  <w:bCs/>
                  <w:color w:val="0000FF"/>
                  <w:u w:val="single"/>
                </w:rPr>
                <w:t>.</w:t>
              </w:r>
              <w:r w:rsidRPr="00AB28D8">
                <w:rPr>
                  <w:bCs/>
                  <w:color w:val="0000FF"/>
                  <w:u w:val="single"/>
                  <w:lang w:val="en-US"/>
                </w:rPr>
                <w:t>pk</w:t>
              </w:r>
              <w:r w:rsidRPr="00AB28D8">
                <w:rPr>
                  <w:bCs/>
                  <w:color w:val="0000FF"/>
                  <w:u w:val="single"/>
                </w:rPr>
                <w:t>-</w:t>
              </w:r>
              <w:proofErr w:type="spellStart"/>
              <w:r w:rsidRPr="00AB28D8">
                <w:rPr>
                  <w:bCs/>
                  <w:color w:val="0000FF"/>
                  <w:u w:val="single"/>
                  <w:lang w:val="en-US"/>
                </w:rPr>
                <w:t>sakhalin</w:t>
              </w:r>
              <w:proofErr w:type="spellEnd"/>
              <w:r w:rsidRPr="00AB28D8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AB28D8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28D8">
              <w:rPr>
                <w:bCs/>
              </w:rPr>
              <w:t xml:space="preserve"> (раздел «Сотрудничество»), (далее – сайты)</w:t>
            </w:r>
            <w:r w:rsidRPr="00AB28D8">
              <w:rPr>
                <w:bCs/>
                <w:i/>
              </w:rPr>
              <w:t xml:space="preserve"> </w:t>
            </w:r>
            <w:r w:rsidRPr="00AB28D8">
              <w:rPr>
                <w:b/>
                <w:bCs/>
              </w:rPr>
              <w:t>«03» августа 2020 года</w:t>
            </w:r>
            <w:r w:rsidRPr="00AB28D8">
              <w:rPr>
                <w:bCs/>
                <w:i/>
              </w:rPr>
              <w:t>.</w:t>
            </w:r>
          </w:p>
          <w:p w:rsidR="00AB28D8" w:rsidRPr="00AB28D8" w:rsidRDefault="00AB28D8" w:rsidP="001A002B">
            <w:pPr>
              <w:ind w:firstLine="709"/>
              <w:jc w:val="both"/>
            </w:pPr>
            <w:r w:rsidRPr="00AB28D8">
              <w:rPr>
                <w:bCs/>
              </w:rPr>
              <w:t xml:space="preserve">Дата окончания срока подачи аукционных заявок – </w:t>
            </w:r>
            <w:r w:rsidRPr="00AB28D8">
              <w:rPr>
                <w:b/>
              </w:rPr>
              <w:t>02:00</w:t>
            </w:r>
            <w:r w:rsidRPr="00AB28D8">
              <w:t xml:space="preserve"> часов московского времени </w:t>
            </w:r>
            <w:r w:rsidRPr="00AB28D8">
              <w:rPr>
                <w:b/>
                <w:bCs/>
              </w:rPr>
              <w:t>«2</w:t>
            </w:r>
            <w:r w:rsidR="001A002B">
              <w:rPr>
                <w:b/>
                <w:bCs/>
              </w:rPr>
              <w:t>4</w:t>
            </w:r>
            <w:r w:rsidRPr="00AB28D8">
              <w:rPr>
                <w:b/>
                <w:bCs/>
              </w:rPr>
              <w:t>» августа 2020 года.</w:t>
            </w:r>
          </w:p>
        </w:tc>
      </w:tr>
      <w:tr w:rsidR="00AB28D8" w:rsidRPr="00D123DF" w:rsidTr="002F57FD">
        <w:tc>
          <w:tcPr>
            <w:tcW w:w="672" w:type="dxa"/>
          </w:tcPr>
          <w:p w:rsidR="00AB28D8" w:rsidRPr="00AB28D8" w:rsidRDefault="00AB28D8" w:rsidP="00AA6501">
            <w:r w:rsidRPr="00AB28D8">
              <w:lastRenderedPageBreak/>
              <w:t>2.3</w:t>
            </w:r>
          </w:p>
        </w:tc>
        <w:tc>
          <w:tcPr>
            <w:tcW w:w="2924" w:type="dxa"/>
          </w:tcPr>
          <w:p w:rsidR="00AB28D8" w:rsidRPr="00AB28D8" w:rsidRDefault="00AB28D8" w:rsidP="00AA6501">
            <w:r w:rsidRPr="00AB28D8">
              <w:t xml:space="preserve">Дата рассмотрения заявок участников аукциона, проведения аукциона </w:t>
            </w:r>
          </w:p>
        </w:tc>
        <w:tc>
          <w:tcPr>
            <w:tcW w:w="6257" w:type="dxa"/>
          </w:tcPr>
          <w:p w:rsidR="00AB28D8" w:rsidRPr="00AB28D8" w:rsidRDefault="00AB28D8" w:rsidP="00AA6501">
            <w:pPr>
              <w:ind w:firstLine="709"/>
              <w:jc w:val="both"/>
              <w:rPr>
                <w:bCs/>
              </w:rPr>
            </w:pPr>
            <w:r w:rsidRPr="00AB28D8">
              <w:rPr>
                <w:bCs/>
              </w:rPr>
              <w:t xml:space="preserve">Рассмотрение первых частей аукционных заявок осуществляется </w:t>
            </w:r>
            <w:r w:rsidRPr="00AB28D8">
              <w:rPr>
                <w:b/>
                <w:bCs/>
              </w:rPr>
              <w:t>«2</w:t>
            </w:r>
            <w:r w:rsidR="001A002B">
              <w:rPr>
                <w:b/>
                <w:bCs/>
              </w:rPr>
              <w:t>6</w:t>
            </w:r>
            <w:r w:rsidRPr="00AB28D8">
              <w:rPr>
                <w:b/>
                <w:bCs/>
              </w:rPr>
              <w:t>» августа 2020 года.</w:t>
            </w:r>
          </w:p>
          <w:p w:rsidR="00AB28D8" w:rsidRPr="00AB28D8" w:rsidRDefault="00AB28D8" w:rsidP="00AA6501">
            <w:pPr>
              <w:ind w:firstLine="709"/>
              <w:jc w:val="both"/>
              <w:rPr>
                <w:bCs/>
              </w:rPr>
            </w:pPr>
            <w:r w:rsidRPr="00AB28D8">
              <w:rPr>
                <w:bCs/>
              </w:rPr>
              <w:t xml:space="preserve">Дата и время начала аукциона (дата сопоставления ценовых предложений) </w:t>
            </w:r>
            <w:r w:rsidRPr="00AB28D8">
              <w:rPr>
                <w:b/>
              </w:rPr>
              <w:t>09:00</w:t>
            </w:r>
            <w:r w:rsidRPr="00AB28D8">
              <w:t xml:space="preserve"> часов московского времени </w:t>
            </w:r>
            <w:r w:rsidRPr="00AB28D8">
              <w:rPr>
                <w:b/>
                <w:bCs/>
              </w:rPr>
              <w:t>«2</w:t>
            </w:r>
            <w:r w:rsidR="001A002B">
              <w:rPr>
                <w:b/>
                <w:bCs/>
              </w:rPr>
              <w:t>8</w:t>
            </w:r>
            <w:r w:rsidRPr="00AB28D8">
              <w:rPr>
                <w:b/>
                <w:bCs/>
              </w:rPr>
              <w:t>» августа 2020 года.</w:t>
            </w:r>
          </w:p>
          <w:p w:rsidR="00AB28D8" w:rsidRPr="00AB28D8" w:rsidRDefault="00AB28D8" w:rsidP="00AA6501">
            <w:pPr>
              <w:ind w:firstLine="709"/>
              <w:jc w:val="both"/>
              <w:rPr>
                <w:bCs/>
                <w:i/>
              </w:rPr>
            </w:pPr>
            <w:r w:rsidRPr="00AB28D8">
              <w:rPr>
                <w:bCs/>
              </w:rPr>
              <w:t xml:space="preserve">Дата начала рассмотрения вторых частей заявок </w:t>
            </w:r>
            <w:r w:rsidRPr="00AB28D8">
              <w:rPr>
                <w:b/>
                <w:bCs/>
              </w:rPr>
              <w:t>«</w:t>
            </w:r>
            <w:r w:rsidR="001A002B">
              <w:rPr>
                <w:b/>
                <w:bCs/>
              </w:rPr>
              <w:t>0</w:t>
            </w:r>
            <w:r w:rsidRPr="00AB28D8">
              <w:rPr>
                <w:b/>
                <w:bCs/>
              </w:rPr>
              <w:t xml:space="preserve">1» </w:t>
            </w:r>
            <w:r w:rsidR="001A002B">
              <w:rPr>
                <w:b/>
                <w:bCs/>
              </w:rPr>
              <w:t xml:space="preserve">сентября </w:t>
            </w:r>
            <w:r w:rsidRPr="00AB28D8">
              <w:rPr>
                <w:b/>
                <w:bCs/>
              </w:rPr>
              <w:t>2020 года.</w:t>
            </w:r>
          </w:p>
          <w:p w:rsidR="00AB28D8" w:rsidRPr="00AB28D8" w:rsidRDefault="00AB28D8" w:rsidP="001A002B">
            <w:pPr>
              <w:ind w:firstLine="709"/>
              <w:jc w:val="both"/>
              <w:rPr>
                <w:bCs/>
                <w:i/>
              </w:rPr>
            </w:pPr>
            <w:r w:rsidRPr="00AB28D8">
              <w:rPr>
                <w:bCs/>
              </w:rPr>
              <w:t>Подведение итогов аукциона осуществляется</w:t>
            </w:r>
            <w:r w:rsidRPr="00AB28D8">
              <w:rPr>
                <w:bCs/>
                <w:i/>
              </w:rPr>
              <w:t xml:space="preserve"> </w:t>
            </w:r>
            <w:r w:rsidRPr="00AB28D8">
              <w:rPr>
                <w:b/>
                <w:bCs/>
              </w:rPr>
              <w:t>«</w:t>
            </w:r>
            <w:r w:rsidR="001A002B">
              <w:rPr>
                <w:b/>
                <w:bCs/>
              </w:rPr>
              <w:t>0</w:t>
            </w:r>
            <w:r w:rsidRPr="00AB28D8">
              <w:rPr>
                <w:b/>
                <w:bCs/>
              </w:rPr>
              <w:t xml:space="preserve">1» </w:t>
            </w:r>
            <w:r w:rsidR="001A002B">
              <w:rPr>
                <w:b/>
                <w:bCs/>
              </w:rPr>
              <w:t xml:space="preserve">сентября </w:t>
            </w:r>
            <w:r w:rsidRPr="00AB28D8">
              <w:rPr>
                <w:b/>
                <w:bCs/>
              </w:rPr>
              <w:t>2020 года.</w:t>
            </w:r>
          </w:p>
        </w:tc>
      </w:tr>
      <w:tr w:rsidR="00AB28D8" w:rsidRPr="00D123DF" w:rsidTr="002F57FD">
        <w:tc>
          <w:tcPr>
            <w:tcW w:w="672" w:type="dxa"/>
          </w:tcPr>
          <w:p w:rsidR="00AB28D8" w:rsidRPr="00AB28D8" w:rsidRDefault="00AB28D8" w:rsidP="00AA6501">
            <w:r w:rsidRPr="00AB28D8">
              <w:t>2.4</w:t>
            </w:r>
          </w:p>
        </w:tc>
        <w:tc>
          <w:tcPr>
            <w:tcW w:w="2924" w:type="dxa"/>
          </w:tcPr>
          <w:p w:rsidR="00AB28D8" w:rsidRPr="00AB28D8" w:rsidRDefault="00AB28D8" w:rsidP="00AA6501">
            <w:pPr>
              <w:jc w:val="both"/>
              <w:rPr>
                <w:bCs/>
              </w:rPr>
            </w:pPr>
            <w:r w:rsidRPr="00AB28D8">
              <w:rPr>
                <w:bCs/>
              </w:rPr>
              <w:t xml:space="preserve">Порядок направления запросов на разъяснение положений </w:t>
            </w:r>
            <w:r w:rsidRPr="00AB28D8">
              <w:t>аукционной</w:t>
            </w:r>
            <w:r w:rsidRPr="00AB28D8">
              <w:rPr>
                <w:bCs/>
              </w:rPr>
              <w:t xml:space="preserve"> документации и предоставления разъяснений положений </w:t>
            </w:r>
            <w:r w:rsidRPr="00AB28D8">
              <w:t>аукционной</w:t>
            </w:r>
            <w:r w:rsidRPr="00AB28D8">
              <w:rPr>
                <w:bCs/>
              </w:rPr>
              <w:t xml:space="preserve"> документации</w:t>
            </w:r>
          </w:p>
          <w:p w:rsidR="00AB28D8" w:rsidRPr="00AB28D8" w:rsidRDefault="00AB28D8" w:rsidP="00AA6501"/>
        </w:tc>
        <w:tc>
          <w:tcPr>
            <w:tcW w:w="6257" w:type="dxa"/>
          </w:tcPr>
          <w:p w:rsidR="00AB28D8" w:rsidRPr="00AB28D8" w:rsidRDefault="00AB28D8" w:rsidP="00AA6501">
            <w:pPr>
              <w:ind w:firstLine="709"/>
              <w:jc w:val="both"/>
              <w:rPr>
                <w:bCs/>
              </w:rPr>
            </w:pPr>
            <w:r w:rsidRPr="00AB28D8">
              <w:rPr>
                <w:bCs/>
              </w:rPr>
      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3.5 аукционной документации.</w:t>
            </w:r>
          </w:p>
          <w:p w:rsidR="00AB28D8" w:rsidRPr="00AB28D8" w:rsidRDefault="00AB28D8" w:rsidP="00AA6501">
            <w:pPr>
              <w:ind w:firstLine="709"/>
              <w:jc w:val="both"/>
              <w:rPr>
                <w:bCs/>
              </w:rPr>
            </w:pPr>
            <w:r w:rsidRPr="00AB28D8">
              <w:rPr>
                <w:bCs/>
              </w:rPr>
              <w:t>Срок направления участниками запросов на разъяснение положений аукционной документации: с «03» августа 2020г. по 9:00 часов московского времени  «1</w:t>
            </w:r>
            <w:r w:rsidR="001A002B">
              <w:rPr>
                <w:bCs/>
              </w:rPr>
              <w:t>8</w:t>
            </w:r>
            <w:r w:rsidRPr="00AB28D8">
              <w:rPr>
                <w:bCs/>
              </w:rPr>
              <w:t>» августа 2020г. (включительно).</w:t>
            </w:r>
          </w:p>
          <w:p w:rsidR="00AB28D8" w:rsidRPr="00AB28D8" w:rsidRDefault="00AB28D8" w:rsidP="00AA6501">
            <w:pPr>
              <w:ind w:firstLine="709"/>
              <w:jc w:val="both"/>
              <w:rPr>
                <w:bCs/>
              </w:rPr>
            </w:pPr>
            <w:r w:rsidRPr="00AB28D8">
              <w:rPr>
                <w:bCs/>
              </w:rPr>
              <w:t>Дата начала срока предоставления участникам разъяснений положений аукционной документации: «03» августа 2020 г.</w:t>
            </w:r>
          </w:p>
          <w:p w:rsidR="00AB28D8" w:rsidRPr="00AB28D8" w:rsidRDefault="00AB28D8" w:rsidP="001A002B">
            <w:pPr>
              <w:ind w:firstLine="709"/>
              <w:jc w:val="both"/>
            </w:pPr>
            <w:r w:rsidRPr="00AB28D8">
              <w:rPr>
                <w:bCs/>
              </w:rPr>
              <w:t>Дата окончания срока предоставления участникам разъяснений положений аукционной документации: 9:00 часов московского времени «</w:t>
            </w:r>
            <w:r w:rsidR="001A002B">
              <w:rPr>
                <w:bCs/>
              </w:rPr>
              <w:t>21</w:t>
            </w:r>
            <w:r w:rsidRPr="00AB28D8">
              <w:rPr>
                <w:bCs/>
              </w:rPr>
              <w:t>» августа 2020г.</w:t>
            </w:r>
          </w:p>
        </w:tc>
      </w:tr>
    </w:tbl>
    <w:p w:rsidR="00733CDD" w:rsidRPr="00733CDD" w:rsidRDefault="00733CDD" w:rsidP="00770A97">
      <w:pPr>
        <w:jc w:val="both"/>
        <w:rPr>
          <w:i/>
        </w:rPr>
      </w:pPr>
    </w:p>
    <w:p w:rsidR="00A97305" w:rsidRDefault="00740A45" w:rsidP="00A97305">
      <w:pPr>
        <w:ind w:firstLine="720"/>
        <w:jc w:val="both"/>
        <w:rPr>
          <w:b/>
        </w:rPr>
      </w:pPr>
      <w:r>
        <w:rPr>
          <w:b/>
        </w:rPr>
        <w:t>Подпункт «Нормативные документы, согласно которым установлены требования» пункта 2</w:t>
      </w:r>
      <w:r w:rsidR="00AB28D8">
        <w:rPr>
          <w:b/>
        </w:rPr>
        <w:t xml:space="preserve"> «</w:t>
      </w:r>
      <w:r w:rsidRPr="00740A45">
        <w:rPr>
          <w:b/>
        </w:rPr>
        <w:t>Требования к товарам</w:t>
      </w:r>
      <w:r w:rsidR="00AB28D8">
        <w:rPr>
          <w:b/>
        </w:rPr>
        <w:t xml:space="preserve">» Технического задания – Приложения № 1.1 к аукционной документации </w:t>
      </w:r>
      <w:r>
        <w:rPr>
          <w:b/>
        </w:rPr>
        <w:t xml:space="preserve">и Технического задания – Приложения № 1 к Проекту договора – Приложению № 1.2 к аукционной документации </w:t>
      </w:r>
      <w:r w:rsidR="00AB28D8">
        <w:rPr>
          <w:b/>
        </w:rPr>
        <w:t>изложить в следующей редакции:</w:t>
      </w:r>
    </w:p>
    <w:p w:rsidR="00AB28D8" w:rsidRDefault="00AB28D8" w:rsidP="00A97305">
      <w:pPr>
        <w:ind w:firstLine="72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488"/>
      </w:tblGrid>
      <w:tr w:rsidR="00740A45" w:rsidRPr="00740A45" w:rsidTr="00AA6501">
        <w:tc>
          <w:tcPr>
            <w:tcW w:w="911" w:type="pct"/>
          </w:tcPr>
          <w:p w:rsidR="00740A45" w:rsidRPr="00740A45" w:rsidRDefault="00740A45" w:rsidP="00740A45">
            <w:r w:rsidRPr="00740A45">
              <w:rPr>
                <w:bCs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3190" w:type="pct"/>
          </w:tcPr>
          <w:p w:rsidR="00740A45" w:rsidRDefault="00740A45" w:rsidP="00740A45">
            <w:pPr>
              <w:jc w:val="both"/>
            </w:pPr>
            <w:r>
              <w:t>Е</w:t>
            </w:r>
            <w:r w:rsidRPr="00740A45">
              <w:t>вропейски</w:t>
            </w:r>
            <w:r>
              <w:t>е</w:t>
            </w:r>
            <w:r w:rsidRPr="00740A45">
              <w:t xml:space="preserve"> стандарт</w:t>
            </w:r>
            <w:r>
              <w:t>ы</w:t>
            </w:r>
            <w:r w:rsidRPr="00740A45">
              <w:t xml:space="preserve"> ISO 4184, BS 3790, DIN 7753</w:t>
            </w:r>
            <w:r>
              <w:t>.</w:t>
            </w:r>
          </w:p>
          <w:p w:rsidR="00740A45" w:rsidRPr="00740A45" w:rsidRDefault="00740A45" w:rsidP="00740A45">
            <w:pPr>
              <w:jc w:val="both"/>
            </w:pPr>
            <w:r w:rsidRPr="00740A45">
              <w:t>ГОСТ 7338-90. Пластины резиновые и резинотканевые. Технические условия.</w:t>
            </w:r>
          </w:p>
          <w:p w:rsidR="00740A45" w:rsidRPr="00740A45" w:rsidRDefault="00740A45" w:rsidP="00740A45">
            <w:pPr>
              <w:jc w:val="both"/>
            </w:pPr>
            <w:r w:rsidRPr="00740A45">
              <w:t>Требования завода-изготовителя цельнометаллических пассажирских вагонов.</w:t>
            </w:r>
          </w:p>
          <w:p w:rsidR="00740A45" w:rsidRPr="00740A45" w:rsidRDefault="00740A45" w:rsidP="00740A45">
            <w:pPr>
              <w:jc w:val="both"/>
            </w:pPr>
            <w:r w:rsidRPr="00740A45">
              <w:t>Правила технической эксплуатации железных дорог Российской Федерации, утвержденные приказом Министерства транспорта РФ от 21.12.2010 № 286, в части обеспечения безопасности движения поездом и перевозки пассажиров, Приложение № 5 пункты 21, 23, 30, 31, 32.</w:t>
            </w:r>
          </w:p>
          <w:p w:rsidR="00740A45" w:rsidRPr="00740A45" w:rsidRDefault="00740A45" w:rsidP="00740A45">
            <w:pPr>
              <w:jc w:val="both"/>
            </w:pPr>
            <w:r w:rsidRPr="00740A45">
              <w:t>Технический регламент Таможенного союза ТР ТС 018/2011 «О безопасности колесных транспортных средств».</w:t>
            </w:r>
          </w:p>
        </w:tc>
      </w:tr>
    </w:tbl>
    <w:p w:rsidR="00AB28D8" w:rsidRDefault="00AB28D8" w:rsidP="00A97305">
      <w:pPr>
        <w:ind w:firstLine="720"/>
        <w:jc w:val="both"/>
        <w:rPr>
          <w:b/>
        </w:rPr>
      </w:pPr>
    </w:p>
    <w:p w:rsidR="00740A45" w:rsidRDefault="00740A45" w:rsidP="00D5197F">
      <w:pPr>
        <w:ind w:firstLine="720"/>
        <w:jc w:val="both"/>
        <w:rPr>
          <w:b/>
        </w:rPr>
      </w:pPr>
      <w:r>
        <w:rPr>
          <w:b/>
        </w:rPr>
        <w:t>Подпункт «</w:t>
      </w:r>
      <w:r w:rsidRPr="00740A45">
        <w:rPr>
          <w:b/>
        </w:rPr>
        <w:t>Технические и функциональные характеристики товара</w:t>
      </w:r>
      <w:r>
        <w:rPr>
          <w:b/>
        </w:rPr>
        <w:t>» пункта 2 «</w:t>
      </w:r>
      <w:r w:rsidRPr="00740A45">
        <w:rPr>
          <w:b/>
        </w:rPr>
        <w:t>Требования к товарам</w:t>
      </w:r>
      <w:r>
        <w:rPr>
          <w:b/>
        </w:rPr>
        <w:t>» Технического задания – Приложения № 1.1 к аукционной документации и Технического задания – Приложения № 1 к Проекту договора – Приложению № 1.2 к аукционной документации изложить в следующей редакции:</w:t>
      </w:r>
    </w:p>
    <w:p w:rsidR="00740A45" w:rsidRDefault="00740A45" w:rsidP="00740A45">
      <w:pPr>
        <w:ind w:firstLine="72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7582"/>
      </w:tblGrid>
      <w:tr w:rsidR="00740A45" w:rsidRPr="00740A45" w:rsidTr="00740A45">
        <w:tc>
          <w:tcPr>
            <w:tcW w:w="1062" w:type="pct"/>
          </w:tcPr>
          <w:p w:rsidR="00740A45" w:rsidRPr="00740A45" w:rsidRDefault="00740A45" w:rsidP="00740A45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</w:pPr>
            <w:r w:rsidRPr="00740A45">
              <w:t>Ремень ТК-3 ХРВ 2500 (или эквивалент)</w:t>
            </w:r>
          </w:p>
        </w:tc>
        <w:tc>
          <w:tcPr>
            <w:tcW w:w="3938" w:type="pct"/>
          </w:tcPr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Ремень клиновый зубчатый с усиленным </w:t>
            </w:r>
            <w:proofErr w:type="spellStart"/>
            <w:r w:rsidRPr="00740A45">
              <w:t>полиэстеровым</w:t>
            </w:r>
            <w:proofErr w:type="spellEnd"/>
            <w:r w:rsidRPr="00740A45">
              <w:t xml:space="preserve"> кордом узкого профиля.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Характеристики: устойчивый к горюче-смазочным материалам, устойчивый к температурам от -30°С до +90°С, электропроводность согласно </w:t>
            </w:r>
            <w:r w:rsidRPr="00740A45">
              <w:rPr>
                <w:lang w:val="en-US"/>
              </w:rPr>
              <w:t>ISO</w:t>
            </w:r>
            <w:r w:rsidRPr="00740A45">
              <w:t xml:space="preserve"> 1813, повышенная передаваемая мощность, возможность использования в тропических условиях, </w:t>
            </w:r>
            <w:proofErr w:type="spellStart"/>
            <w:r w:rsidRPr="00740A45">
              <w:t>пылестойкость</w:t>
            </w:r>
            <w:proofErr w:type="spellEnd"/>
            <w:r w:rsidRPr="00740A45">
              <w:t xml:space="preserve">.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lastRenderedPageBreak/>
              <w:t>Основные материалы: компаунд из хлоропрена, усиленный волокнами, кордшнур из полиэстера.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Основные размеры: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профиль – ХРВ,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ширина – 16,3 мм,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высота – 13 мм,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внешняя длина – 2522+3 мм,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расчетная длина – 2500+3 мм,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внутренняя длина – 2440+3 мм,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вес – 0,48 кг,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 xml:space="preserve">максимальный диаметр шкива – 100 мм, 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>максимальная линейная скорость – 50 м/с.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>Европейские стандарты ISO 4184, BS 3790, DIN 7753.</w:t>
            </w:r>
          </w:p>
          <w:p w:rsidR="00740A45" w:rsidRPr="00740A45" w:rsidRDefault="00740A45" w:rsidP="00740A45">
            <w:pPr>
              <w:tabs>
                <w:tab w:val="left" w:pos="618"/>
              </w:tabs>
              <w:jc w:val="both"/>
            </w:pPr>
            <w:r w:rsidRPr="00740A45">
              <w:t>Сертификат соответствия требованиям ТР ТС 018/2011.</w:t>
            </w:r>
          </w:p>
        </w:tc>
      </w:tr>
      <w:tr w:rsidR="00D5197F" w:rsidRPr="00D5197F" w:rsidTr="00D5197F">
        <w:tc>
          <w:tcPr>
            <w:tcW w:w="1062" w:type="pct"/>
          </w:tcPr>
          <w:p w:rsidR="00D5197F" w:rsidRPr="00D5197F" w:rsidRDefault="00D5197F" w:rsidP="00D5197F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</w:pPr>
            <w:r w:rsidRPr="00D5197F">
              <w:lastRenderedPageBreak/>
              <w:t>Резина листовая (</w:t>
            </w:r>
            <w:proofErr w:type="spellStart"/>
            <w:r w:rsidRPr="00D5197F">
              <w:t>техпластина</w:t>
            </w:r>
            <w:proofErr w:type="spellEnd"/>
            <w:r w:rsidRPr="00D5197F">
              <w:t xml:space="preserve">) </w:t>
            </w:r>
          </w:p>
          <w:p w:rsidR="00D5197F" w:rsidRPr="00D5197F" w:rsidRDefault="00D5197F" w:rsidP="00D5197F">
            <w:pPr>
              <w:tabs>
                <w:tab w:val="left" w:pos="426"/>
              </w:tabs>
            </w:pPr>
            <w:r w:rsidRPr="00D5197F">
              <w:t xml:space="preserve">2H-I-TMКЩ-С-2 (или эквивалент) </w:t>
            </w:r>
          </w:p>
        </w:tc>
        <w:tc>
          <w:tcPr>
            <w:tcW w:w="3938" w:type="pct"/>
          </w:tcPr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>Ширина 800 мм ± 15,0;</w:t>
            </w:r>
          </w:p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>Длина</w:t>
            </w:r>
            <w:r>
              <w:t xml:space="preserve"> не менее 3000 мм</w:t>
            </w:r>
            <w:r w:rsidRPr="00D5197F">
              <w:t xml:space="preserve"> </w:t>
            </w:r>
            <w:r>
              <w:t xml:space="preserve">и не более </w:t>
            </w:r>
            <w:r w:rsidRPr="00D5197F">
              <w:t>30000 мм ± 10,0.</w:t>
            </w:r>
          </w:p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 xml:space="preserve">Предназначена для изготовления резинотехнических изделий, служащих для уплотнения неподвижных соединений, предотвращения трения между металлическими поверхностями, для восприятия одиночных ударных нагрузок, а также в качестве прокладок, настилов и других уплотнительных соединений. </w:t>
            </w:r>
          </w:p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>ГОСТ 7338-90.</w:t>
            </w:r>
          </w:p>
        </w:tc>
      </w:tr>
      <w:tr w:rsidR="00D5197F" w:rsidRPr="00D5197F" w:rsidTr="00D5197F">
        <w:trPr>
          <w:trHeight w:val="2458"/>
        </w:trPr>
        <w:tc>
          <w:tcPr>
            <w:tcW w:w="1062" w:type="pct"/>
          </w:tcPr>
          <w:p w:rsidR="00D5197F" w:rsidRPr="00D5197F" w:rsidRDefault="00D5197F" w:rsidP="00D5197F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</w:pPr>
            <w:r w:rsidRPr="00D5197F">
              <w:t>Резина листовая (</w:t>
            </w:r>
            <w:proofErr w:type="spellStart"/>
            <w:r w:rsidRPr="00D5197F">
              <w:t>техпластина</w:t>
            </w:r>
            <w:proofErr w:type="spellEnd"/>
            <w:r w:rsidRPr="00D5197F">
              <w:t xml:space="preserve">) </w:t>
            </w:r>
          </w:p>
          <w:p w:rsidR="00D5197F" w:rsidRPr="00D5197F" w:rsidRDefault="00D5197F" w:rsidP="00D5197F">
            <w:pPr>
              <w:tabs>
                <w:tab w:val="left" w:pos="426"/>
              </w:tabs>
            </w:pPr>
            <w:r w:rsidRPr="00D5197F">
              <w:t xml:space="preserve">2Н-I-МБС-С-3 (или эквивалент) </w:t>
            </w:r>
          </w:p>
        </w:tc>
        <w:tc>
          <w:tcPr>
            <w:tcW w:w="3938" w:type="pct"/>
          </w:tcPr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>Ширина 800 мм ± 15,0;</w:t>
            </w:r>
          </w:p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>Длина</w:t>
            </w:r>
            <w:r>
              <w:t xml:space="preserve"> не менее 3000 мм</w:t>
            </w:r>
            <w:r w:rsidRPr="00D5197F">
              <w:t xml:space="preserve"> </w:t>
            </w:r>
            <w:r>
              <w:t xml:space="preserve">и не более </w:t>
            </w:r>
            <w:r w:rsidRPr="00D5197F">
              <w:t>30000 мм ± 10,0.</w:t>
            </w:r>
          </w:p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 xml:space="preserve">Предназначена для изготовления резинотехнических изделий, служащих для уплотнения неподвижных соединений, предотвращения трения между металлическими поверхностями, для восприятия одиночных ударных нагрузок, а также в качестве прокладок, настилов и других уплотнительных соединений. </w:t>
            </w:r>
          </w:p>
          <w:p w:rsidR="00D5197F" w:rsidRPr="00D5197F" w:rsidRDefault="00D5197F" w:rsidP="00D5197F">
            <w:pPr>
              <w:tabs>
                <w:tab w:val="left" w:pos="618"/>
              </w:tabs>
              <w:jc w:val="both"/>
            </w:pPr>
            <w:r w:rsidRPr="00D5197F">
              <w:t>ГОСТ 7338-90.</w:t>
            </w:r>
          </w:p>
        </w:tc>
      </w:tr>
    </w:tbl>
    <w:p w:rsidR="00D5197F" w:rsidRDefault="00D5197F" w:rsidP="00A97305">
      <w:pPr>
        <w:ind w:firstLine="720"/>
        <w:jc w:val="both"/>
        <w:rPr>
          <w:rFonts w:eastAsia="Calibri"/>
        </w:rPr>
      </w:pPr>
    </w:p>
    <w:sectPr w:rsidR="00D5197F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36FC"/>
    <w:multiLevelType w:val="hybridMultilevel"/>
    <w:tmpl w:val="CA580E2C"/>
    <w:lvl w:ilvl="0" w:tplc="7338C97A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B7554"/>
    <w:multiLevelType w:val="hybridMultilevel"/>
    <w:tmpl w:val="C3E6079E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F"/>
    <w:rsid w:val="00074677"/>
    <w:rsid w:val="00156B4D"/>
    <w:rsid w:val="001A002B"/>
    <w:rsid w:val="002F57FD"/>
    <w:rsid w:val="00343AAF"/>
    <w:rsid w:val="003C2FE1"/>
    <w:rsid w:val="003D000F"/>
    <w:rsid w:val="00496F66"/>
    <w:rsid w:val="00530394"/>
    <w:rsid w:val="00581813"/>
    <w:rsid w:val="005B4409"/>
    <w:rsid w:val="005B5B59"/>
    <w:rsid w:val="005D6409"/>
    <w:rsid w:val="0060123C"/>
    <w:rsid w:val="006A6DCD"/>
    <w:rsid w:val="00727C1D"/>
    <w:rsid w:val="00733CDD"/>
    <w:rsid w:val="00740A45"/>
    <w:rsid w:val="00753A7B"/>
    <w:rsid w:val="00757DEE"/>
    <w:rsid w:val="00770A97"/>
    <w:rsid w:val="007B5CC3"/>
    <w:rsid w:val="008031E4"/>
    <w:rsid w:val="00894A76"/>
    <w:rsid w:val="008C0031"/>
    <w:rsid w:val="008F28F5"/>
    <w:rsid w:val="00957F4F"/>
    <w:rsid w:val="00971286"/>
    <w:rsid w:val="009B3C4E"/>
    <w:rsid w:val="00A02995"/>
    <w:rsid w:val="00A10B60"/>
    <w:rsid w:val="00A21AEA"/>
    <w:rsid w:val="00A321FE"/>
    <w:rsid w:val="00A427EC"/>
    <w:rsid w:val="00A516AB"/>
    <w:rsid w:val="00A718B2"/>
    <w:rsid w:val="00A97305"/>
    <w:rsid w:val="00AB28D8"/>
    <w:rsid w:val="00AD7D0F"/>
    <w:rsid w:val="00AF1C7D"/>
    <w:rsid w:val="00B86D4D"/>
    <w:rsid w:val="00BC549D"/>
    <w:rsid w:val="00BD356C"/>
    <w:rsid w:val="00C6676C"/>
    <w:rsid w:val="00CE1AE7"/>
    <w:rsid w:val="00D5197F"/>
    <w:rsid w:val="00D9317B"/>
    <w:rsid w:val="00DA073D"/>
    <w:rsid w:val="00DF6A28"/>
    <w:rsid w:val="00E53D1C"/>
    <w:rsid w:val="00F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F0D4E-890D-4ADD-9498-CF8BF1A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2</cp:revision>
  <cp:lastPrinted>2020-08-14T04:28:00Z</cp:lastPrinted>
  <dcterms:created xsi:type="dcterms:W3CDTF">2020-08-24T21:58:00Z</dcterms:created>
  <dcterms:modified xsi:type="dcterms:W3CDTF">2020-08-24T21:58:00Z</dcterms:modified>
</cp:coreProperties>
</file>