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6C" w:rsidRDefault="00BD356C" w:rsidP="00BD356C">
      <w:pPr>
        <w:jc w:val="right"/>
        <w:rPr>
          <w:b/>
        </w:rPr>
      </w:pPr>
      <w:r>
        <w:rPr>
          <w:b/>
        </w:rPr>
        <w:t xml:space="preserve">Утверждаю: </w:t>
      </w:r>
    </w:p>
    <w:p w:rsidR="00BD356C" w:rsidRPr="009B3C4E" w:rsidRDefault="005D6409" w:rsidP="007B5CC3">
      <w:pPr>
        <w:jc w:val="right"/>
      </w:pPr>
      <w:r>
        <w:t>П</w:t>
      </w:r>
      <w:r w:rsidR="003C2FE1">
        <w:t>редседател</w:t>
      </w:r>
      <w:r>
        <w:t>ь</w:t>
      </w:r>
      <w:r w:rsidR="007B5CC3">
        <w:t xml:space="preserve"> </w:t>
      </w:r>
      <w:r>
        <w:t>К</w:t>
      </w:r>
      <w:r w:rsidR="00BD356C" w:rsidRPr="009B3C4E">
        <w:t>омиссии</w:t>
      </w:r>
    </w:p>
    <w:p w:rsidR="00BD356C" w:rsidRDefault="00BD356C" w:rsidP="00BD356C">
      <w:pPr>
        <w:jc w:val="right"/>
      </w:pPr>
      <w:r w:rsidRPr="009B3C4E">
        <w:t>по осуществлению закупок АО «ПКС»</w:t>
      </w:r>
    </w:p>
    <w:p w:rsidR="00BD356C" w:rsidRPr="009B3C4E" w:rsidRDefault="00BD356C" w:rsidP="00BD356C">
      <w:pPr>
        <w:jc w:val="right"/>
      </w:pPr>
    </w:p>
    <w:p w:rsidR="00BD356C" w:rsidRDefault="005D6409" w:rsidP="00BD356C">
      <w:pPr>
        <w:jc w:val="right"/>
      </w:pPr>
      <w:r>
        <w:t>_</w:t>
      </w:r>
      <w:r w:rsidR="007B5CC3">
        <w:t>________________</w:t>
      </w:r>
      <w:r w:rsidR="00BD356C" w:rsidRPr="009B3C4E">
        <w:t xml:space="preserve">____ </w:t>
      </w:r>
      <w:r>
        <w:t>Е.Г. Кудряшов</w:t>
      </w:r>
    </w:p>
    <w:p w:rsidR="00BD356C" w:rsidRPr="009B3C4E" w:rsidRDefault="00BD356C" w:rsidP="00BD356C">
      <w:pPr>
        <w:jc w:val="right"/>
      </w:pPr>
    </w:p>
    <w:p w:rsidR="00BD356C" w:rsidRDefault="00BD356C" w:rsidP="00BD356C">
      <w:pPr>
        <w:jc w:val="right"/>
      </w:pPr>
      <w:r>
        <w:t>«___»___________202</w:t>
      </w:r>
      <w:r w:rsidR="002B601D">
        <w:t>1</w:t>
      </w:r>
    </w:p>
    <w:p w:rsidR="009B3C4E" w:rsidRDefault="009B3C4E" w:rsidP="00343AAF">
      <w:pPr>
        <w:jc w:val="right"/>
      </w:pPr>
    </w:p>
    <w:p w:rsidR="00BD356C" w:rsidRPr="009B3C4E" w:rsidRDefault="00BD356C" w:rsidP="00343AAF">
      <w:pPr>
        <w:jc w:val="right"/>
      </w:pPr>
    </w:p>
    <w:p w:rsidR="00343AAF" w:rsidRPr="00700F44" w:rsidRDefault="00343AAF" w:rsidP="00343AAF">
      <w:pPr>
        <w:jc w:val="center"/>
        <w:rPr>
          <w:b/>
        </w:rPr>
      </w:pPr>
      <w:r w:rsidRPr="00700F44">
        <w:rPr>
          <w:b/>
        </w:rPr>
        <w:t>И</w:t>
      </w:r>
      <w:r w:rsidR="00DA073D">
        <w:rPr>
          <w:b/>
        </w:rPr>
        <w:t>ЗМЕНЕНИЯ</w:t>
      </w:r>
    </w:p>
    <w:p w:rsidR="005D6409" w:rsidRPr="005D6409" w:rsidRDefault="00343AAF" w:rsidP="005D6409">
      <w:pPr>
        <w:jc w:val="center"/>
        <w:rPr>
          <w:b/>
          <w:bCs/>
        </w:rPr>
      </w:pPr>
      <w:r w:rsidRPr="00700F44">
        <w:rPr>
          <w:b/>
        </w:rPr>
        <w:t>в аукционную документацию по о</w:t>
      </w:r>
      <w:r w:rsidRPr="00700F44">
        <w:rPr>
          <w:b/>
          <w:bCs/>
        </w:rPr>
        <w:t xml:space="preserve">ткрытому </w:t>
      </w:r>
      <w:r w:rsidR="00DA073D" w:rsidRPr="00DA073D">
        <w:rPr>
          <w:b/>
          <w:bCs/>
        </w:rPr>
        <w:t>аукцион</w:t>
      </w:r>
      <w:r w:rsidR="00DA073D">
        <w:rPr>
          <w:b/>
          <w:bCs/>
        </w:rPr>
        <w:t>у</w:t>
      </w:r>
      <w:r w:rsidR="005D6409">
        <w:rPr>
          <w:b/>
          <w:bCs/>
        </w:rPr>
        <w:t xml:space="preserve"> в электронной форме, </w:t>
      </w:r>
      <w:r w:rsidR="005D6409" w:rsidRPr="005D6409">
        <w:rPr>
          <w:b/>
          <w:bCs/>
        </w:rPr>
        <w:t>участниками которого вправе быть исключительно субъекты малого и с</w:t>
      </w:r>
      <w:r w:rsidR="002B601D">
        <w:rPr>
          <w:b/>
          <w:bCs/>
        </w:rPr>
        <w:t>реднего предпринимательства, № 53</w:t>
      </w:r>
      <w:r w:rsidR="005D6409" w:rsidRPr="005D6409">
        <w:rPr>
          <w:b/>
          <w:bCs/>
        </w:rPr>
        <w:t>/ОАЭ-ПКС/Т</w:t>
      </w:r>
    </w:p>
    <w:p w:rsidR="00343AAF" w:rsidRPr="00700F44" w:rsidRDefault="005D6409" w:rsidP="005D6409">
      <w:pPr>
        <w:jc w:val="center"/>
        <w:rPr>
          <w:b/>
          <w:bCs/>
        </w:rPr>
      </w:pPr>
      <w:r w:rsidRPr="005D6409">
        <w:rPr>
          <w:b/>
          <w:bCs/>
        </w:rPr>
        <w:t>на право заключения договора</w:t>
      </w:r>
      <w:r w:rsidR="002B601D">
        <w:rPr>
          <w:b/>
          <w:bCs/>
        </w:rPr>
        <w:t xml:space="preserve"> поставки мобильных платежных терминалов «ПТК-</w:t>
      </w:r>
      <w:proofErr w:type="spellStart"/>
      <w:r w:rsidR="002B601D">
        <w:rPr>
          <w:b/>
          <w:bCs/>
        </w:rPr>
        <w:t>Т»</w:t>
      </w:r>
      <w:proofErr w:type="spellEnd"/>
    </w:p>
    <w:p w:rsidR="005B4409" w:rsidRDefault="005B4409" w:rsidP="00343AAF">
      <w:pPr>
        <w:ind w:firstLine="709"/>
        <w:jc w:val="center"/>
        <w:rPr>
          <w:b/>
          <w:bCs/>
        </w:rPr>
      </w:pPr>
    </w:p>
    <w:p w:rsidR="00770A97" w:rsidRDefault="00343AAF" w:rsidP="007A5D2A">
      <w:pPr>
        <w:jc w:val="both"/>
        <w:rPr>
          <w:b/>
          <w:i/>
        </w:rPr>
      </w:pPr>
      <w:r w:rsidRPr="00733CDD">
        <w:rPr>
          <w:b/>
          <w:bCs/>
          <w:i/>
        </w:rPr>
        <w:t>Изменения в</w:t>
      </w:r>
      <w:r w:rsidRPr="00733CDD">
        <w:rPr>
          <w:b/>
          <w:i/>
        </w:rPr>
        <w:t xml:space="preserve"> аукционную документацию:</w:t>
      </w:r>
    </w:p>
    <w:p w:rsidR="00733CDD" w:rsidRDefault="00733CDD" w:rsidP="007A5D2A">
      <w:pPr>
        <w:jc w:val="both"/>
        <w:rPr>
          <w:b/>
          <w:i/>
        </w:rPr>
      </w:pPr>
      <w:bookmarkStart w:id="0" w:name="_GoBack"/>
      <w:bookmarkEnd w:id="0"/>
    </w:p>
    <w:p w:rsidR="005B5F17" w:rsidRDefault="002B601D" w:rsidP="00770A97">
      <w:pPr>
        <w:jc w:val="both"/>
        <w:rPr>
          <w:b/>
        </w:rPr>
      </w:pPr>
      <w:r>
        <w:rPr>
          <w:b/>
        </w:rPr>
        <w:t>Таблицу «Технические и функциональные характеристики» в п</w:t>
      </w:r>
      <w:r w:rsidR="005B5F17">
        <w:rPr>
          <w:b/>
        </w:rPr>
        <w:t>одпункт</w:t>
      </w:r>
      <w:r>
        <w:rPr>
          <w:b/>
        </w:rPr>
        <w:t>е</w:t>
      </w:r>
      <w:r w:rsidR="005B5F17">
        <w:rPr>
          <w:b/>
        </w:rPr>
        <w:t xml:space="preserve"> «</w:t>
      </w:r>
      <w:r>
        <w:rPr>
          <w:b/>
        </w:rPr>
        <w:t>Технические и функциональные характеристики товара</w:t>
      </w:r>
      <w:r w:rsidR="005B5F17">
        <w:rPr>
          <w:b/>
        </w:rPr>
        <w:t xml:space="preserve">» пункта </w:t>
      </w:r>
      <w:r>
        <w:rPr>
          <w:b/>
        </w:rPr>
        <w:t>2</w:t>
      </w:r>
      <w:r w:rsidR="005B5F17">
        <w:rPr>
          <w:b/>
        </w:rPr>
        <w:t xml:space="preserve"> «</w:t>
      </w:r>
      <w:r>
        <w:rPr>
          <w:b/>
        </w:rPr>
        <w:t>Требования к товарам</w:t>
      </w:r>
      <w:r w:rsidR="005B5F17">
        <w:rPr>
          <w:b/>
        </w:rPr>
        <w:t xml:space="preserve">» Технического задания – Приложения № 1.1 и </w:t>
      </w:r>
      <w:r w:rsidR="005B5F17" w:rsidRPr="005B5F17">
        <w:rPr>
          <w:b/>
        </w:rPr>
        <w:t>Технического задания – Приложения № 1 к Проекту договора – Приложению № 1.2 к аукционной документации изложить в следующей редакции</w:t>
      </w:r>
      <w:r w:rsidR="005B5F17">
        <w:rPr>
          <w:b/>
        </w:rPr>
        <w:t xml:space="preserve">: </w:t>
      </w:r>
    </w:p>
    <w:p w:rsidR="005B5F17" w:rsidRDefault="005B5F17" w:rsidP="00770A9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7433"/>
      </w:tblGrid>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center"/>
              <w:rPr>
                <w:b/>
                <w:bCs/>
                <w:lang w:eastAsia="en-US"/>
              </w:rPr>
            </w:pPr>
            <w:r w:rsidRPr="002B601D">
              <w:rPr>
                <w:b/>
                <w:bCs/>
                <w:lang w:eastAsia="en-US"/>
              </w:rPr>
              <w:t xml:space="preserve">Технические и функциональные характеристики </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b/>
                <w:bCs/>
                <w:lang w:eastAsia="en-US"/>
              </w:rPr>
              <w:t>Системная конфигурация</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CPU</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Не менее 1,2 </w:t>
            </w:r>
            <w:proofErr w:type="spellStart"/>
            <w:r w:rsidRPr="002B601D">
              <w:rPr>
                <w:lang w:eastAsia="en-US"/>
              </w:rPr>
              <w:t>Ггц</w:t>
            </w:r>
            <w:proofErr w:type="spellEnd"/>
            <w:r w:rsidRPr="002B601D">
              <w:rPr>
                <w:lang w:eastAsia="en-US"/>
              </w:rPr>
              <w:t>, 4 ядра, с 64 битной архитектурой</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Операционная система </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Не ниже </w:t>
            </w:r>
            <w:r w:rsidRPr="002B601D">
              <w:rPr>
                <w:lang w:val="en-US" w:eastAsia="en-US"/>
              </w:rPr>
              <w:t>Android</w:t>
            </w:r>
            <w:r w:rsidRPr="002B601D">
              <w:rPr>
                <w:lang w:eastAsia="en-US"/>
              </w:rPr>
              <w:t xml:space="preserve"> 7.х или эквивалент. </w:t>
            </w:r>
          </w:p>
          <w:p w:rsidR="002B601D" w:rsidRPr="002B601D" w:rsidRDefault="002B601D" w:rsidP="002B601D">
            <w:pPr>
              <w:spacing w:line="276" w:lineRule="auto"/>
              <w:jc w:val="both"/>
              <w:rPr>
                <w:lang w:eastAsia="en-US"/>
              </w:rPr>
            </w:pPr>
            <w:r w:rsidRPr="002B601D">
              <w:rPr>
                <w:lang w:eastAsia="en-US"/>
              </w:rPr>
              <w:t xml:space="preserve">Операционная система должна быть совместима с программным обеспечением </w:t>
            </w:r>
            <w:proofErr w:type="spellStart"/>
            <w:r w:rsidRPr="002B601D">
              <w:rPr>
                <w:lang w:eastAsia="en-US"/>
              </w:rPr>
              <w:t>VipNet</w:t>
            </w:r>
            <w:proofErr w:type="spellEnd"/>
            <w:r w:rsidRPr="002B601D">
              <w:rPr>
                <w:lang w:eastAsia="en-US"/>
              </w:rPr>
              <w:t xml:space="preserve"> </w:t>
            </w:r>
            <w:proofErr w:type="spellStart"/>
            <w:r w:rsidRPr="002B601D">
              <w:rPr>
                <w:lang w:eastAsia="en-US"/>
              </w:rPr>
              <w:t>Client</w:t>
            </w:r>
            <w:proofErr w:type="spellEnd"/>
            <w:r w:rsidRPr="002B601D">
              <w:rPr>
                <w:lang w:eastAsia="en-US"/>
              </w:rPr>
              <w:t xml:space="preserve"> и </w:t>
            </w:r>
            <w:proofErr w:type="spellStart"/>
            <w:r w:rsidRPr="002B601D">
              <w:rPr>
                <w:lang w:eastAsia="en-US"/>
              </w:rPr>
              <w:t>ViPNet</w:t>
            </w:r>
            <w:proofErr w:type="spellEnd"/>
            <w:r w:rsidRPr="002B601D">
              <w:rPr>
                <w:lang w:eastAsia="en-US"/>
              </w:rPr>
              <w:t xml:space="preserve"> </w:t>
            </w:r>
            <w:proofErr w:type="spellStart"/>
            <w:r w:rsidRPr="002B601D">
              <w:rPr>
                <w:lang w:eastAsia="en-US"/>
              </w:rPr>
              <w:t>SafeTickets</w:t>
            </w:r>
            <w:proofErr w:type="spellEnd"/>
            <w:r w:rsidRPr="002B601D">
              <w:rPr>
                <w:lang w:eastAsia="en-US"/>
              </w:rPr>
              <w:t xml:space="preserve"> SDK</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Память</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proofErr w:type="spellStart"/>
            <w:r w:rsidRPr="002B601D">
              <w:rPr>
                <w:lang w:eastAsia="en-US"/>
              </w:rPr>
              <w:t>Flash</w:t>
            </w:r>
            <w:proofErr w:type="spellEnd"/>
            <w:r w:rsidRPr="002B601D">
              <w:rPr>
                <w:lang w:eastAsia="en-US"/>
              </w:rPr>
              <w:t> не менее 16 GB</w:t>
            </w:r>
          </w:p>
          <w:p w:rsidR="002B601D" w:rsidRPr="002B601D" w:rsidRDefault="002B601D" w:rsidP="002B601D">
            <w:pPr>
              <w:spacing w:line="276" w:lineRule="auto"/>
              <w:jc w:val="both"/>
              <w:rPr>
                <w:lang w:eastAsia="en-US"/>
              </w:rPr>
            </w:pPr>
            <w:r w:rsidRPr="002B601D">
              <w:rPr>
                <w:lang w:eastAsia="en-US"/>
              </w:rPr>
              <w:t xml:space="preserve">RAM не менее 2 </w:t>
            </w:r>
            <w:proofErr w:type="gramStart"/>
            <w:r w:rsidRPr="002B601D">
              <w:rPr>
                <w:lang w:eastAsia="en-US"/>
              </w:rPr>
              <w:t>G</w:t>
            </w:r>
            <w:proofErr w:type="gramEnd"/>
            <w:r w:rsidRPr="002B601D">
              <w:rPr>
                <w:lang w:eastAsia="en-US"/>
              </w:rPr>
              <w:t>В</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Наличие слота с поддержкой</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Поддержка карт памяти: </w:t>
            </w:r>
            <w:r w:rsidRPr="002B601D">
              <w:rPr>
                <w:lang w:val="en-US" w:eastAsia="en-US"/>
              </w:rPr>
              <w:t>micro</w:t>
            </w:r>
            <w:r w:rsidRPr="002B601D">
              <w:rPr>
                <w:lang w:eastAsia="en-US"/>
              </w:rPr>
              <w:t xml:space="preserve"> </w:t>
            </w:r>
            <w:r w:rsidRPr="002B601D">
              <w:rPr>
                <w:lang w:val="en-US" w:eastAsia="en-US"/>
              </w:rPr>
              <w:t>SD</w:t>
            </w:r>
            <w:r w:rsidRPr="002B601D">
              <w:rPr>
                <w:lang w:eastAsia="en-US"/>
              </w:rPr>
              <w:t xml:space="preserve"> </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Сенсорный экран </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Емкостной, не менее 5,5 дюймов (не менее 1280х720, не менее 16 </w:t>
            </w:r>
            <w:proofErr w:type="spellStart"/>
            <w:r w:rsidRPr="002B601D">
              <w:rPr>
                <w:lang w:eastAsia="en-US"/>
              </w:rPr>
              <w:t>млн</w:t>
            </w:r>
            <w:proofErr w:type="gramStart"/>
            <w:r w:rsidRPr="002B601D">
              <w:rPr>
                <w:lang w:eastAsia="en-US"/>
              </w:rPr>
              <w:t>.ц</w:t>
            </w:r>
            <w:proofErr w:type="gramEnd"/>
            <w:r w:rsidRPr="002B601D">
              <w:rPr>
                <w:lang w:eastAsia="en-US"/>
              </w:rPr>
              <w:t>ветов</w:t>
            </w:r>
            <w:proofErr w:type="spellEnd"/>
            <w:r w:rsidRPr="002B601D">
              <w:rPr>
                <w:lang w:eastAsia="en-US"/>
              </w:rPr>
              <w:t>)</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b/>
                <w:bCs/>
                <w:lang w:eastAsia="en-US"/>
              </w:rPr>
              <w:t>Функциональная конфигурация</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Принтер чеков</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Ширина чековой ленты</w:t>
            </w:r>
            <w:r w:rsidRPr="002B601D">
              <w:t xml:space="preserve"> </w:t>
            </w:r>
            <w:r w:rsidRPr="002B601D">
              <w:rPr>
                <w:lang w:eastAsia="en-US"/>
              </w:rPr>
              <w:t xml:space="preserve">от 40 до 58 мм, </w:t>
            </w:r>
          </w:p>
          <w:p w:rsidR="002B601D" w:rsidRPr="002B601D" w:rsidRDefault="002B601D" w:rsidP="002B601D">
            <w:pPr>
              <w:spacing w:line="276" w:lineRule="auto"/>
              <w:jc w:val="both"/>
              <w:rPr>
                <w:lang w:eastAsia="en-US"/>
              </w:rPr>
            </w:pPr>
            <w:r w:rsidRPr="002B601D">
              <w:rPr>
                <w:lang w:eastAsia="en-US"/>
              </w:rPr>
              <w:t>Скорость печати – не менее 75 мм/сек,</w:t>
            </w:r>
          </w:p>
          <w:p w:rsidR="002B601D" w:rsidRPr="002B601D" w:rsidRDefault="002B601D" w:rsidP="002B601D">
            <w:pPr>
              <w:spacing w:line="276" w:lineRule="auto"/>
              <w:jc w:val="both"/>
              <w:rPr>
                <w:lang w:eastAsia="en-US"/>
              </w:rPr>
            </w:pPr>
            <w:r w:rsidRPr="002B601D">
              <w:rPr>
                <w:lang w:eastAsia="en-US"/>
              </w:rPr>
              <w:t>Диаметр рулона – не менее 40 мм</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Сканер </w:t>
            </w:r>
            <w:proofErr w:type="gramStart"/>
            <w:r w:rsidRPr="002B601D">
              <w:rPr>
                <w:lang w:eastAsia="en-US"/>
              </w:rPr>
              <w:t>штрих-кодов</w:t>
            </w:r>
            <w:proofErr w:type="gramEnd"/>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Сканер штрих – кодов должен содержать: 2</w:t>
            </w:r>
            <w:r w:rsidRPr="002B601D">
              <w:rPr>
                <w:lang w:val="en-US" w:eastAsia="en-US"/>
              </w:rPr>
              <w:t>D</w:t>
            </w:r>
            <w:r w:rsidRPr="002B601D">
              <w:rPr>
                <w:lang w:eastAsia="en-US"/>
              </w:rPr>
              <w:t xml:space="preserve"> сканер, встроенный чип, лазерный указатель, 752х480 – </w:t>
            </w:r>
            <w:r w:rsidRPr="002B601D">
              <w:rPr>
                <w:lang w:val="en-US" w:eastAsia="en-US"/>
              </w:rPr>
              <w:t>image</w:t>
            </w:r>
            <w:r w:rsidRPr="002B601D">
              <w:rPr>
                <w:lang w:eastAsia="en-US"/>
              </w:rPr>
              <w:t xml:space="preserve"> </w:t>
            </w:r>
            <w:r w:rsidRPr="002B601D">
              <w:rPr>
                <w:lang w:val="en-US" w:eastAsia="en-US"/>
              </w:rPr>
              <w:t>sensor</w:t>
            </w:r>
            <w:r w:rsidRPr="002B601D">
              <w:rPr>
                <w:lang w:eastAsia="en-US"/>
              </w:rPr>
              <w:t xml:space="preserve"> </w:t>
            </w:r>
          </w:p>
          <w:p w:rsidR="002B601D" w:rsidRPr="002B601D" w:rsidRDefault="002B601D" w:rsidP="002B601D">
            <w:pPr>
              <w:spacing w:line="276" w:lineRule="auto"/>
              <w:jc w:val="both"/>
              <w:rPr>
                <w:lang w:eastAsia="en-US"/>
              </w:rPr>
            </w:pPr>
            <w:r w:rsidRPr="002B601D">
              <w:rPr>
                <w:lang w:eastAsia="en-US"/>
              </w:rPr>
              <w:t>Угол сканирования от -55 º до +55º</w:t>
            </w:r>
          </w:p>
          <w:p w:rsidR="002B601D" w:rsidRPr="002B601D" w:rsidRDefault="002B601D" w:rsidP="002B601D">
            <w:pPr>
              <w:spacing w:line="276" w:lineRule="auto"/>
              <w:jc w:val="both"/>
              <w:rPr>
                <w:lang w:eastAsia="en-US"/>
              </w:rPr>
            </w:pPr>
            <w:r w:rsidRPr="002B601D">
              <w:rPr>
                <w:lang w:eastAsia="en-US"/>
              </w:rPr>
              <w:t>Символьная контрастность ≥ 20%</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Сканер отпечатка пальцев</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Сканер отпечатка пальцев должен содержать технологию </w:t>
            </w:r>
            <w:r w:rsidRPr="002B601D">
              <w:rPr>
                <w:lang w:val="en-US" w:eastAsia="en-US"/>
              </w:rPr>
              <w:t>Active</w:t>
            </w:r>
            <w:r w:rsidRPr="002B601D">
              <w:rPr>
                <w:lang w:eastAsia="en-US"/>
              </w:rPr>
              <w:t xml:space="preserve"> </w:t>
            </w:r>
            <w:r w:rsidRPr="002B601D">
              <w:rPr>
                <w:lang w:val="en-US" w:eastAsia="en-US"/>
              </w:rPr>
              <w:t>Thermal</w:t>
            </w:r>
            <w:r w:rsidRPr="002B601D">
              <w:rPr>
                <w:lang w:eastAsia="en-US"/>
              </w:rPr>
              <w:t xml:space="preserve"> </w:t>
            </w:r>
            <w:r w:rsidRPr="002B601D">
              <w:rPr>
                <w:lang w:val="en-US" w:eastAsia="en-US"/>
              </w:rPr>
              <w:t>sensing</w:t>
            </w:r>
            <w:r w:rsidRPr="002B601D">
              <w:rPr>
                <w:lang w:eastAsia="en-US"/>
              </w:rPr>
              <w:t xml:space="preserve"> (регистрация в одно касание, высокая точность, работа в условиях высокой влажности)</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Детектор денежных знаков</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Необходимо наличие источника УФ излучения с длиной волны не менее 360-380нм и источник белого цвета</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Спутниковая навигация</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val="en-US" w:eastAsia="en-US"/>
              </w:rPr>
            </w:pPr>
            <w:r w:rsidRPr="002B601D">
              <w:rPr>
                <w:lang w:eastAsia="en-US"/>
              </w:rPr>
              <w:t>Поддержка</w:t>
            </w:r>
            <w:r w:rsidRPr="002B601D">
              <w:rPr>
                <w:lang w:val="en-US" w:eastAsia="en-US"/>
              </w:rPr>
              <w:t xml:space="preserve"> GPS, </w:t>
            </w:r>
            <w:proofErr w:type="spellStart"/>
            <w:r w:rsidRPr="002B601D">
              <w:rPr>
                <w:lang w:val="en-US" w:eastAsia="en-US"/>
              </w:rPr>
              <w:t>Beidou</w:t>
            </w:r>
            <w:proofErr w:type="spellEnd"/>
            <w:r w:rsidRPr="002B601D">
              <w:rPr>
                <w:lang w:val="en-US" w:eastAsia="en-US"/>
              </w:rPr>
              <w:t xml:space="preserve"> </w:t>
            </w:r>
            <w:r w:rsidRPr="002B601D">
              <w:rPr>
                <w:lang w:eastAsia="en-US"/>
              </w:rPr>
              <w:t>и</w:t>
            </w:r>
            <w:r w:rsidRPr="002B601D">
              <w:rPr>
                <w:lang w:val="en-US" w:eastAsia="en-US"/>
              </w:rPr>
              <w:t xml:space="preserve"> GLONASS, </w:t>
            </w:r>
            <w:r w:rsidRPr="002B601D">
              <w:rPr>
                <w:lang w:eastAsia="en-US"/>
              </w:rPr>
              <w:t>а</w:t>
            </w:r>
            <w:r w:rsidRPr="002B601D">
              <w:rPr>
                <w:lang w:val="en-US" w:eastAsia="en-US"/>
              </w:rPr>
              <w:t xml:space="preserve"> </w:t>
            </w:r>
            <w:r w:rsidRPr="002B601D">
              <w:rPr>
                <w:lang w:eastAsia="en-US"/>
              </w:rPr>
              <w:t>также</w:t>
            </w:r>
            <w:r w:rsidRPr="002B601D">
              <w:rPr>
                <w:lang w:val="en-US" w:eastAsia="en-US"/>
              </w:rPr>
              <w:t xml:space="preserve"> – AGPS </w:t>
            </w:r>
            <w:r w:rsidRPr="002B601D">
              <w:rPr>
                <w:lang w:eastAsia="en-US"/>
              </w:rPr>
              <w:t>и</w:t>
            </w:r>
            <w:r w:rsidRPr="002B601D">
              <w:rPr>
                <w:lang w:val="en-US" w:eastAsia="en-US"/>
              </w:rPr>
              <w:t xml:space="preserve"> ONDOA (LTE-based positioning)</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lastRenderedPageBreak/>
              <w:t>Аудио система</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Встроенный динамик и микрофон, в том числе с возможностью подключения </w:t>
            </w:r>
            <w:proofErr w:type="spellStart"/>
            <w:r w:rsidRPr="002B601D">
              <w:rPr>
                <w:lang w:eastAsia="en-US"/>
              </w:rPr>
              <w:t>Bluetooth</w:t>
            </w:r>
            <w:proofErr w:type="spellEnd"/>
            <w:r w:rsidRPr="002B601D">
              <w:rPr>
                <w:lang w:eastAsia="en-US"/>
              </w:rPr>
              <w:t xml:space="preserve">-гарнитуры. </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Фонарь</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Светодиодный фонарь</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hideMark/>
          </w:tcPr>
          <w:p w:rsidR="002B601D" w:rsidRPr="002B601D" w:rsidRDefault="002B601D" w:rsidP="002B601D">
            <w:pPr>
              <w:spacing w:line="276" w:lineRule="auto"/>
              <w:jc w:val="both"/>
              <w:rPr>
                <w:b/>
                <w:bCs/>
                <w:lang w:eastAsia="en-US"/>
              </w:rPr>
            </w:pPr>
            <w:r w:rsidRPr="002B601D">
              <w:rPr>
                <w:b/>
                <w:bCs/>
                <w:lang w:eastAsia="en-US"/>
              </w:rPr>
              <w:t xml:space="preserve">POS </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Считывать магнитной полосы</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Должен содержать три трека, любое направление считывания, поддержка стандарта ISO 7811/78152</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Считыватель смарт-карт</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Поддержка 1.8/3/5В, ISO 7816, PBOC &amp; EMV</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Бесконтактный считыватель (чтение/запись) </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NFC 13.56MHz, ISO/IEC 14443 </w:t>
            </w:r>
            <w:proofErr w:type="spellStart"/>
            <w:r w:rsidRPr="002B601D">
              <w:rPr>
                <w:lang w:eastAsia="en-US"/>
              </w:rPr>
              <w:t>Type</w:t>
            </w:r>
            <w:proofErr w:type="spellEnd"/>
            <w:r w:rsidRPr="002B601D">
              <w:rPr>
                <w:lang w:eastAsia="en-US"/>
              </w:rPr>
              <w:t xml:space="preserve"> A/B, </w:t>
            </w:r>
            <w:proofErr w:type="spellStart"/>
            <w:r w:rsidRPr="002B601D">
              <w:rPr>
                <w:lang w:eastAsia="en-US"/>
              </w:rPr>
              <w:t>MiFare</w:t>
            </w:r>
            <w:proofErr w:type="spellEnd"/>
            <w:r w:rsidRPr="002B601D">
              <w:rPr>
                <w:lang w:eastAsia="en-US"/>
              </w:rPr>
              <w:t xml:space="preserve">, поддержка </w:t>
            </w:r>
            <w:proofErr w:type="spellStart"/>
            <w:r w:rsidRPr="002B601D">
              <w:rPr>
                <w:lang w:eastAsia="en-US"/>
              </w:rPr>
              <w:t>gPBOC</w:t>
            </w:r>
            <w:proofErr w:type="spellEnd"/>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Слоты для карт</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val="en-US" w:eastAsia="en-US"/>
              </w:rPr>
              <w:t>SAM</w:t>
            </w:r>
            <w:r w:rsidRPr="002B601D">
              <w:rPr>
                <w:lang w:eastAsia="en-US"/>
              </w:rPr>
              <w:t>:  не менее 2-х слотов (</w:t>
            </w:r>
            <w:r w:rsidRPr="002B601D">
              <w:rPr>
                <w:lang w:val="en-US" w:eastAsia="en-US"/>
              </w:rPr>
              <w:t>SAM</w:t>
            </w:r>
            <w:r w:rsidRPr="002B601D">
              <w:rPr>
                <w:lang w:eastAsia="en-US"/>
              </w:rPr>
              <w:t> </w:t>
            </w:r>
            <w:r w:rsidRPr="002B601D">
              <w:rPr>
                <w:lang w:val="en-US" w:eastAsia="en-US"/>
              </w:rPr>
              <w:t>AV</w:t>
            </w:r>
            <w:r w:rsidRPr="002B601D">
              <w:rPr>
                <w:lang w:eastAsia="en-US"/>
              </w:rPr>
              <w:t>2 </w:t>
            </w:r>
            <w:r w:rsidRPr="002B601D">
              <w:rPr>
                <w:lang w:val="en-US" w:eastAsia="en-US"/>
              </w:rPr>
              <w:t>T</w:t>
            </w:r>
            <w:r w:rsidRPr="002B601D">
              <w:rPr>
                <w:lang w:eastAsia="en-US"/>
              </w:rPr>
              <w:t>1)</w:t>
            </w:r>
            <w:r w:rsidRPr="002B601D">
              <w:rPr>
                <w:lang w:eastAsia="en-US"/>
              </w:rPr>
              <w:br/>
            </w:r>
            <w:r w:rsidRPr="002B601D">
              <w:rPr>
                <w:lang w:val="en-US" w:eastAsia="en-US"/>
              </w:rPr>
              <w:t>SIM</w:t>
            </w:r>
            <w:r w:rsidRPr="002B601D">
              <w:rPr>
                <w:lang w:eastAsia="en-US"/>
              </w:rPr>
              <w:t xml:space="preserve">: не менее 1 слот </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b/>
                <w:bCs/>
                <w:lang w:eastAsia="en-US"/>
              </w:rPr>
              <w:t>Связь</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Модем, встроенный с поддержкой</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LTE/WCDMA/GSM/CDMA</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WLAN</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802.11 b/g/n внутренняя антенна</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WPAN с поддержкой</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proofErr w:type="spellStart"/>
            <w:r w:rsidRPr="002B601D">
              <w:rPr>
                <w:lang w:eastAsia="en-US"/>
              </w:rPr>
              <w:t>Bluetooth</w:t>
            </w:r>
            <w:proofErr w:type="spellEnd"/>
            <w:r w:rsidRPr="002B601D">
              <w:rPr>
                <w:lang w:eastAsia="en-US"/>
              </w:rPr>
              <w:t xml:space="preserve"> не менее версии 4.0 + EDR</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b/>
                <w:bCs/>
                <w:lang w:eastAsia="en-US"/>
              </w:rPr>
              <w:t>Внешний интерфейс</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USB интерфейс</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Не менее 1-го </w:t>
            </w:r>
            <w:proofErr w:type="spellStart"/>
            <w:r w:rsidRPr="002B601D">
              <w:rPr>
                <w:lang w:eastAsia="en-US"/>
              </w:rPr>
              <w:t>Micro</w:t>
            </w:r>
            <w:proofErr w:type="spellEnd"/>
            <w:r w:rsidRPr="002B601D">
              <w:rPr>
                <w:lang w:eastAsia="en-US"/>
              </w:rPr>
              <w:t xml:space="preserve"> USB 2.0 (кабель в комплекте) (1 шт.)</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Разъем для источника питания</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proofErr w:type="gramStart"/>
            <w:r w:rsidRPr="002B601D">
              <w:rPr>
                <w:lang w:eastAsia="en-US"/>
              </w:rPr>
              <w:t>D</w:t>
            </w:r>
            <w:proofErr w:type="gramEnd"/>
            <w:r w:rsidRPr="002B601D">
              <w:rPr>
                <w:lang w:eastAsia="en-US"/>
              </w:rPr>
              <w:t>С JACK</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Батарея, в количестве 2-х единиц в комплекте</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Не менее 28 Вт*ч, время полной зарядки от 0 % – не более 4 часов</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Зарядное устройство от сети 220 вольт</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В </w:t>
            </w:r>
            <w:proofErr w:type="gramStart"/>
            <w:r w:rsidRPr="002B601D">
              <w:rPr>
                <w:lang w:eastAsia="en-US"/>
              </w:rPr>
              <w:t>комплекте</w:t>
            </w:r>
            <w:proofErr w:type="gramEnd"/>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hideMark/>
          </w:tcPr>
          <w:p w:rsidR="002B601D" w:rsidRPr="002B601D" w:rsidRDefault="002B601D" w:rsidP="002B601D">
            <w:pPr>
              <w:spacing w:line="276" w:lineRule="auto"/>
              <w:jc w:val="both"/>
              <w:rPr>
                <w:lang w:eastAsia="en-US"/>
              </w:rPr>
            </w:pPr>
            <w:r w:rsidRPr="002B601D">
              <w:rPr>
                <w:b/>
                <w:bCs/>
                <w:lang w:eastAsia="en-US"/>
              </w:rPr>
              <w:t>Параметры фискального модуля</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CPU</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STM32F405 или эквивалент</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Память</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rPr>
                <w:lang w:eastAsia="en-US"/>
              </w:rPr>
            </w:pPr>
            <w:r w:rsidRPr="002B601D">
              <w:rPr>
                <w:lang w:eastAsia="en-US"/>
              </w:rPr>
              <w:t>RAM – не менее 1024 КБ</w:t>
            </w:r>
            <w:r w:rsidRPr="002B601D">
              <w:rPr>
                <w:lang w:eastAsia="en-US"/>
              </w:rPr>
              <w:br/>
            </w:r>
            <w:proofErr w:type="spellStart"/>
            <w:r w:rsidRPr="002B601D">
              <w:rPr>
                <w:lang w:eastAsia="en-US"/>
              </w:rPr>
              <w:t>Flash</w:t>
            </w:r>
            <w:proofErr w:type="spellEnd"/>
            <w:r w:rsidRPr="002B601D">
              <w:rPr>
                <w:lang w:eastAsia="en-US"/>
              </w:rPr>
              <w:t xml:space="preserve"> – не менее 1 024 КБ</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Поддерживаемые протоколы передачи данных в ОФД</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rPr>
                <w:lang w:eastAsia="en-US"/>
              </w:rPr>
            </w:pPr>
            <w:r w:rsidRPr="002B601D">
              <w:rPr>
                <w:lang w:eastAsia="en-US"/>
              </w:rPr>
              <w:t>Не ниже 1.05 и 1.1</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Конструктивные параметры</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rPr>
                <w:lang w:eastAsia="en-US"/>
              </w:rPr>
            </w:pPr>
            <w:r w:rsidRPr="002B601D">
              <w:rPr>
                <w:lang w:eastAsia="en-US"/>
              </w:rPr>
              <w:t xml:space="preserve">Физически отдельный от системной платы </w:t>
            </w:r>
            <w:proofErr w:type="spellStart"/>
            <w:r w:rsidRPr="002B601D">
              <w:rPr>
                <w:lang w:eastAsia="en-US"/>
              </w:rPr>
              <w:t>Андроида</w:t>
            </w:r>
            <w:proofErr w:type="spellEnd"/>
            <w:r w:rsidRPr="002B601D">
              <w:rPr>
                <w:lang w:eastAsia="en-US"/>
              </w:rPr>
              <w:t xml:space="preserve"> фискальный модуль с </w:t>
            </w:r>
            <w:proofErr w:type="gramStart"/>
            <w:r w:rsidRPr="002B601D">
              <w:rPr>
                <w:lang w:eastAsia="en-US"/>
              </w:rPr>
              <w:t>подключенным</w:t>
            </w:r>
            <w:proofErr w:type="gramEnd"/>
            <w:r w:rsidRPr="002B601D">
              <w:rPr>
                <w:lang w:eastAsia="en-US"/>
              </w:rPr>
              <w:t xml:space="preserve"> к нему фискального накопителя (ФН) с часами реального времени (независимые от OS) и автономной от общего питания устройства системой </w:t>
            </w:r>
            <w:proofErr w:type="spellStart"/>
            <w:r w:rsidRPr="002B601D">
              <w:rPr>
                <w:lang w:eastAsia="en-US"/>
              </w:rPr>
              <w:t>Backup</w:t>
            </w:r>
            <w:proofErr w:type="spellEnd"/>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b/>
                <w:bCs/>
                <w:lang w:eastAsia="en-US"/>
              </w:rPr>
              <w:t>Банковское приложение</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Сертифицированное Банком-</w:t>
            </w:r>
            <w:proofErr w:type="spellStart"/>
            <w:r w:rsidRPr="002B601D">
              <w:rPr>
                <w:lang w:eastAsia="en-US"/>
              </w:rPr>
              <w:t>эквайером</w:t>
            </w:r>
            <w:proofErr w:type="spellEnd"/>
            <w:r w:rsidRPr="002B601D">
              <w:rPr>
                <w:lang w:eastAsia="en-US"/>
              </w:rPr>
              <w:t xml:space="preserve"> (кредитной организацией, </w:t>
            </w:r>
            <w:proofErr w:type="gramStart"/>
            <w:r w:rsidRPr="002B601D">
              <w:rPr>
                <w:lang w:eastAsia="en-US"/>
              </w:rPr>
              <w:lastRenderedPageBreak/>
              <w:t>осуществляющая</w:t>
            </w:r>
            <w:proofErr w:type="gramEnd"/>
            <w:r w:rsidRPr="002B601D">
              <w:rPr>
                <w:lang w:eastAsia="en-US"/>
              </w:rPr>
              <w:t xml:space="preserve"> весь комплекс финансовых операций, связанных с выполнением расчетов и платежей по пластиковым картам) программное обеспечение</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val="en-US" w:eastAsia="en-US"/>
              </w:rPr>
              <w:lastRenderedPageBreak/>
              <w:t>ARIASOFT</w:t>
            </w:r>
            <w:r w:rsidRPr="002B601D">
              <w:rPr>
                <w:lang w:eastAsia="en-US"/>
              </w:rPr>
              <w:t>-</w:t>
            </w:r>
            <w:r w:rsidRPr="002B601D">
              <w:rPr>
                <w:lang w:val="en-US" w:eastAsia="en-US"/>
              </w:rPr>
              <w:t>POS</w:t>
            </w:r>
            <w:r w:rsidRPr="002B601D">
              <w:rPr>
                <w:lang w:eastAsia="en-US"/>
              </w:rPr>
              <w:t xml:space="preserve"> </w:t>
            </w:r>
            <w:proofErr w:type="gramStart"/>
            <w:r w:rsidRPr="002B601D">
              <w:rPr>
                <w:lang w:eastAsia="en-US"/>
              </w:rPr>
              <w:t>1.</w:t>
            </w:r>
            <w:r w:rsidRPr="002B601D">
              <w:rPr>
                <w:lang w:val="en-US" w:eastAsia="en-US"/>
              </w:rPr>
              <w:t>X</w:t>
            </w:r>
            <w:r w:rsidRPr="002B601D">
              <w:rPr>
                <w:lang w:eastAsia="en-US"/>
              </w:rPr>
              <w:t xml:space="preserve"> </w:t>
            </w:r>
            <w:bookmarkStart w:id="1" w:name="OLE_LINK2"/>
            <w:r w:rsidRPr="002B601D">
              <w:rPr>
                <w:lang w:eastAsia="en-US"/>
              </w:rPr>
              <w:t xml:space="preserve"> </w:t>
            </w:r>
            <w:proofErr w:type="spellStart"/>
            <w:r w:rsidRPr="002B601D">
              <w:rPr>
                <w:lang w:eastAsia="en-US"/>
              </w:rPr>
              <w:t>МультиКарта</w:t>
            </w:r>
            <w:proofErr w:type="spellEnd"/>
            <w:proofErr w:type="gramEnd"/>
            <w:r w:rsidRPr="002B601D">
              <w:rPr>
                <w:lang w:eastAsia="en-US"/>
              </w:rPr>
              <w:t xml:space="preserve"> - Банк ВТБ и др.</w:t>
            </w:r>
            <w:bookmarkEnd w:id="1"/>
            <w:r w:rsidRPr="002B601D">
              <w:rPr>
                <w:lang w:eastAsia="en-US"/>
              </w:rPr>
              <w:t xml:space="preserve"> (с правом использования </w:t>
            </w:r>
            <w:bookmarkStart w:id="2" w:name="OLE_LINK3"/>
            <w:bookmarkStart w:id="3" w:name="OLE_LINK4"/>
            <w:r w:rsidRPr="002B601D">
              <w:rPr>
                <w:lang w:eastAsia="en-US"/>
              </w:rPr>
              <w:t xml:space="preserve">данного программного обеспечения </w:t>
            </w:r>
            <w:bookmarkEnd w:id="2"/>
            <w:bookmarkEnd w:id="3"/>
            <w:r w:rsidRPr="002B601D">
              <w:rPr>
                <w:lang w:eastAsia="en-US"/>
              </w:rPr>
              <w:t xml:space="preserve">в других банках) или </w:t>
            </w:r>
            <w:proofErr w:type="gramStart"/>
            <w:r w:rsidRPr="002B601D">
              <w:rPr>
                <w:lang w:eastAsia="en-US"/>
              </w:rPr>
              <w:t>аналогичное</w:t>
            </w:r>
            <w:proofErr w:type="gramEnd"/>
            <w:r w:rsidRPr="002B601D">
              <w:rPr>
                <w:lang w:eastAsia="en-US"/>
              </w:rPr>
              <w:t xml:space="preserve"> по параметрам</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lastRenderedPageBreak/>
              <w:t>Сертификаты аппаратной части</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val="en-US" w:eastAsia="en-US"/>
              </w:rPr>
              <w:t>EMV</w:t>
            </w:r>
            <w:r w:rsidRPr="002B601D">
              <w:rPr>
                <w:lang w:eastAsia="en-US"/>
              </w:rPr>
              <w:t xml:space="preserve"> </w:t>
            </w:r>
            <w:r w:rsidRPr="002B601D">
              <w:rPr>
                <w:lang w:val="en-US" w:eastAsia="en-US"/>
              </w:rPr>
              <w:t>L</w:t>
            </w:r>
            <w:r w:rsidRPr="002B601D">
              <w:rPr>
                <w:lang w:eastAsia="en-US"/>
              </w:rPr>
              <w:t xml:space="preserve">1, </w:t>
            </w:r>
            <w:r w:rsidRPr="002B601D">
              <w:rPr>
                <w:lang w:val="en-US" w:eastAsia="en-US"/>
              </w:rPr>
              <w:t>EMV</w:t>
            </w:r>
            <w:r w:rsidRPr="002B601D">
              <w:rPr>
                <w:lang w:eastAsia="en-US"/>
              </w:rPr>
              <w:t xml:space="preserve"> </w:t>
            </w:r>
            <w:r w:rsidRPr="002B601D">
              <w:rPr>
                <w:lang w:val="en-US" w:eastAsia="en-US"/>
              </w:rPr>
              <w:t>L</w:t>
            </w:r>
            <w:r w:rsidRPr="002B601D">
              <w:rPr>
                <w:lang w:eastAsia="en-US"/>
              </w:rPr>
              <w:t xml:space="preserve">1 </w:t>
            </w:r>
            <w:r w:rsidRPr="002B601D">
              <w:rPr>
                <w:lang w:val="en-US" w:eastAsia="en-US"/>
              </w:rPr>
              <w:t>Contactless</w:t>
            </w:r>
            <w:r w:rsidRPr="002B601D">
              <w:rPr>
                <w:lang w:eastAsia="en-US"/>
              </w:rPr>
              <w:t xml:space="preserve">, </w:t>
            </w:r>
            <w:r w:rsidRPr="002B601D">
              <w:rPr>
                <w:lang w:val="en-US" w:eastAsia="en-US"/>
              </w:rPr>
              <w:t>EMV</w:t>
            </w:r>
            <w:r w:rsidRPr="002B601D">
              <w:rPr>
                <w:lang w:eastAsia="en-US"/>
              </w:rPr>
              <w:t xml:space="preserve"> </w:t>
            </w:r>
            <w:r w:rsidRPr="002B601D">
              <w:rPr>
                <w:lang w:val="en-US" w:eastAsia="en-US"/>
              </w:rPr>
              <w:t>L</w:t>
            </w:r>
            <w:r w:rsidRPr="002B601D">
              <w:rPr>
                <w:lang w:eastAsia="en-US"/>
              </w:rPr>
              <w:t xml:space="preserve">2, </w:t>
            </w:r>
            <w:r w:rsidRPr="002B601D">
              <w:rPr>
                <w:lang w:val="en-US" w:eastAsia="en-US"/>
              </w:rPr>
              <w:t>PCI</w:t>
            </w:r>
            <w:r w:rsidRPr="002B601D">
              <w:rPr>
                <w:lang w:eastAsia="en-US"/>
              </w:rPr>
              <w:t xml:space="preserve"> </w:t>
            </w:r>
            <w:r w:rsidRPr="002B601D">
              <w:rPr>
                <w:lang w:val="en-US" w:eastAsia="en-US"/>
              </w:rPr>
              <w:t>PTS</w:t>
            </w:r>
            <w:r w:rsidRPr="002B601D">
              <w:rPr>
                <w:lang w:eastAsia="en-US"/>
              </w:rPr>
              <w:t xml:space="preserve"> 5.</w:t>
            </w:r>
            <w:r w:rsidRPr="002B601D">
              <w:rPr>
                <w:lang w:val="en-US" w:eastAsia="en-US"/>
              </w:rPr>
              <w:t>x</w:t>
            </w:r>
            <w:r w:rsidRPr="002B601D">
              <w:rPr>
                <w:lang w:eastAsia="en-US"/>
              </w:rPr>
              <w:t xml:space="preserve"> (срок действия сертификата не менее 2 лет с момента поставки) </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Сертификаты</w:t>
            </w:r>
          </w:p>
          <w:p w:rsidR="002B601D" w:rsidRPr="002B601D" w:rsidRDefault="002B601D" w:rsidP="002B601D">
            <w:pPr>
              <w:spacing w:line="276" w:lineRule="auto"/>
              <w:jc w:val="both"/>
              <w:rPr>
                <w:lang w:eastAsia="en-US"/>
              </w:rPr>
            </w:pPr>
            <w:r w:rsidRPr="002B601D">
              <w:rPr>
                <w:lang w:eastAsia="en-US"/>
              </w:rPr>
              <w:t>платежных систем</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val="en-US" w:eastAsia="en-US"/>
              </w:rPr>
            </w:pPr>
            <w:r w:rsidRPr="002B601D">
              <w:rPr>
                <w:lang w:eastAsia="en-US"/>
              </w:rPr>
              <w:t>МИР</w:t>
            </w:r>
            <w:r w:rsidRPr="002B601D">
              <w:rPr>
                <w:lang w:val="en-US" w:eastAsia="en-US"/>
              </w:rPr>
              <w:t xml:space="preserve">, VISA </w:t>
            </w:r>
            <w:proofErr w:type="spellStart"/>
            <w:r w:rsidRPr="002B601D">
              <w:rPr>
                <w:lang w:val="en-US" w:eastAsia="en-US"/>
              </w:rPr>
              <w:t>PayWave</w:t>
            </w:r>
            <w:proofErr w:type="spellEnd"/>
            <w:r w:rsidRPr="002B601D">
              <w:rPr>
                <w:lang w:val="en-US" w:eastAsia="en-US"/>
              </w:rPr>
              <w:t xml:space="preserve">, MasterCard </w:t>
            </w:r>
            <w:proofErr w:type="spellStart"/>
            <w:r w:rsidRPr="002B601D">
              <w:rPr>
                <w:lang w:val="en-US" w:eastAsia="en-US"/>
              </w:rPr>
              <w:t>PayPass</w:t>
            </w:r>
            <w:proofErr w:type="spellEnd"/>
            <w:r w:rsidRPr="002B601D">
              <w:rPr>
                <w:lang w:val="en-US" w:eastAsia="en-US"/>
              </w:rPr>
              <w:t xml:space="preserve">, China </w:t>
            </w:r>
            <w:proofErr w:type="spellStart"/>
            <w:r w:rsidRPr="002B601D">
              <w:rPr>
                <w:lang w:val="en-US" w:eastAsia="en-US"/>
              </w:rPr>
              <w:t>UnionPay</w:t>
            </w:r>
            <w:proofErr w:type="spellEnd"/>
            <w:r w:rsidRPr="002B601D">
              <w:rPr>
                <w:lang w:val="en-US" w:eastAsia="en-US"/>
              </w:rPr>
              <w:t xml:space="preserve">, AMEX </w:t>
            </w:r>
            <w:proofErr w:type="spellStart"/>
            <w:r w:rsidRPr="002B601D">
              <w:rPr>
                <w:lang w:val="en-US" w:eastAsia="en-US"/>
              </w:rPr>
              <w:t>XpressPay</w:t>
            </w:r>
            <w:proofErr w:type="spellEnd"/>
            <w:r w:rsidRPr="002B601D">
              <w:rPr>
                <w:lang w:val="en-US" w:eastAsia="en-US"/>
              </w:rPr>
              <w:t xml:space="preserve"> 3</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Все элементы </w:t>
            </w:r>
            <w:proofErr w:type="spellStart"/>
            <w:r w:rsidRPr="002B601D">
              <w:rPr>
                <w:lang w:eastAsia="en-US"/>
              </w:rPr>
              <w:t>эквайринга</w:t>
            </w:r>
            <w:proofErr w:type="spellEnd"/>
            <w:r w:rsidRPr="002B601D">
              <w:rPr>
                <w:lang w:eastAsia="en-US"/>
              </w:rPr>
              <w:t xml:space="preserve"> (за исключением программного обеспечения терминала) конструктивно должны </w:t>
            </w:r>
            <w:proofErr w:type="gramStart"/>
            <w:r w:rsidRPr="002B601D">
              <w:rPr>
                <w:lang w:eastAsia="en-US"/>
              </w:rPr>
              <w:t>находится</w:t>
            </w:r>
            <w:proofErr w:type="gramEnd"/>
            <w:r w:rsidRPr="002B601D">
              <w:rPr>
                <w:lang w:eastAsia="en-US"/>
              </w:rPr>
              <w:t xml:space="preserve"> в безопасном контуре Банка (</w:t>
            </w:r>
            <w:proofErr w:type="spellStart"/>
            <w:r w:rsidRPr="002B601D">
              <w:rPr>
                <w:lang w:eastAsia="en-US"/>
              </w:rPr>
              <w:t>in</w:t>
            </w:r>
            <w:proofErr w:type="spellEnd"/>
            <w:r w:rsidRPr="002B601D">
              <w:rPr>
                <w:lang w:eastAsia="en-US"/>
              </w:rPr>
              <w:t xml:space="preserve"> </w:t>
            </w:r>
            <w:r w:rsidRPr="002B601D">
              <w:rPr>
                <w:lang w:val="en-US" w:eastAsia="en-US"/>
              </w:rPr>
              <w:t>house</w:t>
            </w:r>
            <w:r w:rsidRPr="002B601D">
              <w:rPr>
                <w:lang w:eastAsia="en-US"/>
              </w:rPr>
              <w:t xml:space="preserve">) (на отдельной плате внутри корпуса контрольно-кассовой техники) </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b/>
                <w:bCs/>
                <w:lang w:eastAsia="en-US"/>
              </w:rPr>
              <w:t xml:space="preserve">Прочее </w:t>
            </w:r>
          </w:p>
        </w:tc>
      </w:tr>
      <w:tr w:rsidR="002B601D" w:rsidRPr="002B601D" w:rsidTr="002B601D">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Cs/>
                <w:lang w:eastAsia="en-US"/>
              </w:rPr>
            </w:pPr>
            <w:r w:rsidRPr="002B601D">
              <w:rPr>
                <w:bCs/>
                <w:lang w:eastAsia="en-US"/>
              </w:rPr>
              <w:t>Контрольно-кассовая техника должна быть реализована в едином корпусе</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proofErr w:type="spellStart"/>
            <w:r w:rsidRPr="002B601D">
              <w:rPr>
                <w:bCs/>
                <w:lang w:eastAsia="en-US"/>
              </w:rPr>
              <w:t>Ударопрочность</w:t>
            </w:r>
            <w:proofErr w:type="spellEnd"/>
            <w:r w:rsidRPr="002B601D">
              <w:rPr>
                <w:bCs/>
                <w:lang w:eastAsia="en-US"/>
              </w:rPr>
              <w:t xml:space="preserve"> </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lang w:eastAsia="en-US"/>
              </w:rPr>
              <w:t>Целостность корпуса должна сохраняться при падении с высоты не менее 1 м</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bCs/>
                <w:lang w:eastAsia="en-US"/>
              </w:rPr>
              <w:t>Промышленный класс</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lang w:eastAsia="en-US"/>
              </w:rPr>
              <w:t xml:space="preserve">Не менее </w:t>
            </w:r>
            <w:r w:rsidRPr="002B601D">
              <w:rPr>
                <w:lang w:val="en-US" w:eastAsia="en-US"/>
              </w:rPr>
              <w:t>IP 54</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bCs/>
                <w:lang w:eastAsia="en-US"/>
              </w:rPr>
              <w:t xml:space="preserve">Рабочая температура </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lang w:eastAsia="en-US"/>
              </w:rPr>
            </w:pPr>
            <w:r w:rsidRPr="002B601D">
              <w:rPr>
                <w:lang w:eastAsia="en-US"/>
              </w:rPr>
              <w:t xml:space="preserve">В </w:t>
            </w:r>
            <w:proofErr w:type="gramStart"/>
            <w:r w:rsidRPr="002B601D">
              <w:rPr>
                <w:lang w:eastAsia="en-US"/>
              </w:rPr>
              <w:t>диапазоне</w:t>
            </w:r>
            <w:proofErr w:type="gramEnd"/>
            <w:r w:rsidRPr="002B601D">
              <w:rPr>
                <w:lang w:eastAsia="en-US"/>
              </w:rPr>
              <w:t xml:space="preserve"> температур от -20°C до + 60°C </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bCs/>
                <w:lang w:eastAsia="en-US"/>
              </w:rPr>
              <w:t>Температура хранения</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lang w:eastAsia="en-US"/>
              </w:rPr>
              <w:t xml:space="preserve">В </w:t>
            </w:r>
            <w:proofErr w:type="gramStart"/>
            <w:r w:rsidRPr="002B601D">
              <w:rPr>
                <w:lang w:eastAsia="en-US"/>
              </w:rPr>
              <w:t>диапазоне</w:t>
            </w:r>
            <w:proofErr w:type="gramEnd"/>
            <w:r w:rsidRPr="002B601D">
              <w:rPr>
                <w:lang w:eastAsia="en-US"/>
              </w:rPr>
              <w:t xml:space="preserve"> температур от -40°C до + 80°C </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lang w:eastAsia="en-US"/>
              </w:rPr>
              <w:t>Чехол</w:t>
            </w:r>
          </w:p>
        </w:tc>
        <w:tc>
          <w:tcPr>
            <w:tcW w:w="7433"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lang w:eastAsia="en-US"/>
              </w:rPr>
              <w:t>Защитный чехол</w:t>
            </w:r>
          </w:p>
        </w:tc>
      </w:tr>
      <w:tr w:rsidR="002B601D" w:rsidRPr="002B601D" w:rsidTr="002B601D">
        <w:tc>
          <w:tcPr>
            <w:tcW w:w="2314" w:type="dxa"/>
            <w:tcBorders>
              <w:top w:val="single" w:sz="4" w:space="0" w:color="auto"/>
              <w:left w:val="single" w:sz="4" w:space="0" w:color="auto"/>
              <w:bottom w:val="single" w:sz="4" w:space="0" w:color="auto"/>
              <w:right w:val="single" w:sz="4" w:space="0" w:color="auto"/>
            </w:tcBorders>
            <w:vAlign w:val="center"/>
            <w:hideMark/>
          </w:tcPr>
          <w:p w:rsidR="002B601D" w:rsidRPr="002B601D" w:rsidRDefault="002B601D" w:rsidP="002B601D">
            <w:pPr>
              <w:spacing w:line="276" w:lineRule="auto"/>
              <w:jc w:val="both"/>
              <w:rPr>
                <w:b/>
                <w:bCs/>
                <w:lang w:eastAsia="en-US"/>
              </w:rPr>
            </w:pPr>
            <w:r w:rsidRPr="002B601D">
              <w:rPr>
                <w:lang w:eastAsia="en-US"/>
              </w:rPr>
              <w:t>Документация</w:t>
            </w:r>
          </w:p>
        </w:tc>
        <w:tc>
          <w:tcPr>
            <w:tcW w:w="7433" w:type="dxa"/>
            <w:tcBorders>
              <w:top w:val="single" w:sz="4" w:space="0" w:color="auto"/>
              <w:left w:val="single" w:sz="4" w:space="0" w:color="auto"/>
              <w:bottom w:val="single" w:sz="4" w:space="0" w:color="auto"/>
              <w:right w:val="single" w:sz="4" w:space="0" w:color="auto"/>
            </w:tcBorders>
            <w:hideMark/>
          </w:tcPr>
          <w:p w:rsidR="002B601D" w:rsidRPr="002B601D" w:rsidRDefault="002B601D" w:rsidP="002B601D">
            <w:pPr>
              <w:spacing w:line="276" w:lineRule="auto"/>
              <w:jc w:val="both"/>
              <w:rPr>
                <w:b/>
                <w:bCs/>
                <w:lang w:eastAsia="en-US"/>
              </w:rPr>
            </w:pPr>
            <w:r w:rsidRPr="002B601D">
              <w:rPr>
                <w:lang w:eastAsia="en-US"/>
              </w:rPr>
              <w:t xml:space="preserve">Полный комплект эксплуатационной документации </w:t>
            </w:r>
          </w:p>
        </w:tc>
      </w:tr>
    </w:tbl>
    <w:p w:rsidR="002B601D" w:rsidRDefault="002B601D" w:rsidP="00770A97">
      <w:pPr>
        <w:jc w:val="both"/>
      </w:pPr>
    </w:p>
    <w:p w:rsidR="002B601D" w:rsidRDefault="002B601D" w:rsidP="00770A97">
      <w:pPr>
        <w:jc w:val="both"/>
      </w:pPr>
    </w:p>
    <w:p w:rsidR="001A002B" w:rsidRDefault="002B601D" w:rsidP="001A002B">
      <w:pPr>
        <w:jc w:val="both"/>
        <w:rPr>
          <w:rFonts w:eastAsia="Calibri"/>
        </w:rPr>
      </w:pPr>
      <w:r>
        <w:rPr>
          <w:rFonts w:eastAsia="Calibri"/>
        </w:rPr>
        <w:t xml:space="preserve">Главный инженер </w:t>
      </w:r>
      <w:r>
        <w:rPr>
          <w:rFonts w:eastAsia="Calibri"/>
        </w:rPr>
        <w:tab/>
      </w:r>
      <w:r>
        <w:rPr>
          <w:rFonts w:eastAsia="Calibri"/>
        </w:rPr>
        <w:tab/>
      </w:r>
      <w:r>
        <w:rPr>
          <w:rFonts w:eastAsia="Calibri"/>
        </w:rPr>
        <w:tab/>
      </w:r>
      <w:r w:rsidR="001A002B">
        <w:rPr>
          <w:rFonts w:eastAsia="Calibri"/>
        </w:rPr>
        <w:tab/>
      </w:r>
      <w:r>
        <w:rPr>
          <w:rFonts w:eastAsia="Calibri"/>
        </w:rPr>
        <w:tab/>
      </w:r>
      <w:r w:rsidR="001A002B">
        <w:rPr>
          <w:rFonts w:eastAsia="Calibri"/>
        </w:rPr>
        <w:tab/>
      </w:r>
      <w:r w:rsidR="001A002B">
        <w:rPr>
          <w:rFonts w:eastAsia="Calibri"/>
        </w:rPr>
        <w:tab/>
      </w:r>
      <w:r w:rsidR="001A002B">
        <w:rPr>
          <w:rFonts w:eastAsia="Calibri"/>
        </w:rPr>
        <w:tab/>
      </w:r>
      <w:r w:rsidR="001A002B">
        <w:rPr>
          <w:rFonts w:eastAsia="Calibri"/>
        </w:rPr>
        <w:tab/>
      </w:r>
      <w:r>
        <w:rPr>
          <w:rFonts w:eastAsia="Calibri"/>
        </w:rPr>
        <w:t>Е</w:t>
      </w:r>
      <w:r w:rsidR="001A002B">
        <w:rPr>
          <w:rFonts w:eastAsia="Calibri"/>
        </w:rPr>
        <w:t>.</w:t>
      </w:r>
      <w:r>
        <w:rPr>
          <w:rFonts w:eastAsia="Calibri"/>
        </w:rPr>
        <w:t>Г</w:t>
      </w:r>
      <w:r w:rsidR="001A002B">
        <w:rPr>
          <w:rFonts w:eastAsia="Calibri"/>
        </w:rPr>
        <w:t xml:space="preserve">. </w:t>
      </w:r>
      <w:r>
        <w:rPr>
          <w:rFonts w:eastAsia="Calibri"/>
        </w:rPr>
        <w:t xml:space="preserve">Кудряшов </w:t>
      </w:r>
    </w:p>
    <w:p w:rsidR="001A002B" w:rsidRDefault="001A002B" w:rsidP="00A97305">
      <w:pPr>
        <w:ind w:firstLine="720"/>
        <w:jc w:val="both"/>
        <w:rPr>
          <w:rFonts w:eastAsia="Calibri"/>
        </w:rPr>
      </w:pPr>
    </w:p>
    <w:p w:rsidR="008052DB" w:rsidRDefault="008052DB" w:rsidP="001A002B">
      <w:pPr>
        <w:jc w:val="both"/>
        <w:rPr>
          <w:rFonts w:eastAsia="Calibri"/>
        </w:rPr>
      </w:pPr>
      <w:r>
        <w:rPr>
          <w:rFonts w:eastAsia="Calibri"/>
        </w:rPr>
        <w:t xml:space="preserve">Заместитель генерального директора </w:t>
      </w:r>
    </w:p>
    <w:p w:rsidR="00BD356C" w:rsidRDefault="008052DB" w:rsidP="001A002B">
      <w:pPr>
        <w:jc w:val="both"/>
        <w:rPr>
          <w:rFonts w:eastAsia="Calibri"/>
        </w:rPr>
      </w:pPr>
      <w:r>
        <w:rPr>
          <w:rFonts w:eastAsia="Calibri"/>
        </w:rPr>
        <w:t>по безопасности</w:t>
      </w:r>
      <w:r w:rsidR="00BD356C">
        <w:rPr>
          <w:rFonts w:eastAsia="Calibri"/>
        </w:rPr>
        <w:tab/>
      </w:r>
      <w:r w:rsidR="00BD356C">
        <w:rPr>
          <w:rFonts w:eastAsia="Calibri"/>
        </w:rPr>
        <w:tab/>
      </w:r>
      <w:r>
        <w:rPr>
          <w:rFonts w:eastAsia="Calibri"/>
        </w:rPr>
        <w:tab/>
      </w:r>
      <w:r>
        <w:rPr>
          <w:rFonts w:eastAsia="Calibri"/>
        </w:rPr>
        <w:tab/>
      </w:r>
      <w:r>
        <w:rPr>
          <w:rFonts w:eastAsia="Calibri"/>
        </w:rPr>
        <w:tab/>
      </w:r>
      <w:r>
        <w:rPr>
          <w:rFonts w:eastAsia="Calibri"/>
        </w:rPr>
        <w:tab/>
      </w:r>
      <w:r w:rsidR="00740A45">
        <w:rPr>
          <w:rFonts w:eastAsia="Calibri"/>
        </w:rPr>
        <w:tab/>
      </w:r>
      <w:r w:rsidR="00740A45">
        <w:rPr>
          <w:rFonts w:eastAsia="Calibri"/>
        </w:rPr>
        <w:tab/>
      </w:r>
      <w:r w:rsidR="00740A45">
        <w:rPr>
          <w:rFonts w:eastAsia="Calibri"/>
        </w:rPr>
        <w:tab/>
      </w:r>
      <w:r>
        <w:rPr>
          <w:rFonts w:eastAsia="Calibri"/>
        </w:rPr>
        <w:t>А</w:t>
      </w:r>
      <w:r w:rsidR="00BD356C">
        <w:rPr>
          <w:rFonts w:eastAsia="Calibri"/>
        </w:rPr>
        <w:t>.</w:t>
      </w:r>
      <w:r w:rsidR="00740A45">
        <w:rPr>
          <w:rFonts w:eastAsia="Calibri"/>
        </w:rPr>
        <w:t>Н</w:t>
      </w:r>
      <w:r w:rsidR="00BD356C">
        <w:rPr>
          <w:rFonts w:eastAsia="Calibri"/>
        </w:rPr>
        <w:t xml:space="preserve">. </w:t>
      </w:r>
      <w:r w:rsidR="00740A45">
        <w:rPr>
          <w:rFonts w:eastAsia="Calibri"/>
        </w:rPr>
        <w:t>Барков</w:t>
      </w:r>
    </w:p>
    <w:p w:rsidR="00BD356C" w:rsidRDefault="00BD356C" w:rsidP="00A97305">
      <w:pPr>
        <w:ind w:firstLine="720"/>
        <w:jc w:val="both"/>
        <w:rPr>
          <w:rFonts w:eastAsia="Calibri"/>
        </w:rPr>
      </w:pPr>
    </w:p>
    <w:sectPr w:rsidR="00BD356C" w:rsidSect="009B3C4E">
      <w:pgSz w:w="11906" w:h="16838" w:code="9"/>
      <w:pgMar w:top="851" w:right="851" w:bottom="851" w:left="141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5D" w:rsidRDefault="005C635D" w:rsidP="007A5D2A">
      <w:r>
        <w:separator/>
      </w:r>
    </w:p>
  </w:endnote>
  <w:endnote w:type="continuationSeparator" w:id="0">
    <w:p w:rsidR="005C635D" w:rsidRDefault="005C635D" w:rsidP="007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5D" w:rsidRDefault="005C635D" w:rsidP="007A5D2A">
      <w:r>
        <w:separator/>
      </w:r>
    </w:p>
  </w:footnote>
  <w:footnote w:type="continuationSeparator" w:id="0">
    <w:p w:rsidR="005C635D" w:rsidRDefault="005C635D" w:rsidP="007A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98"/>
    <w:multiLevelType w:val="hybridMultilevel"/>
    <w:tmpl w:val="79701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D8036FC"/>
    <w:multiLevelType w:val="hybridMultilevel"/>
    <w:tmpl w:val="CA580E2C"/>
    <w:lvl w:ilvl="0" w:tplc="7338C97A">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20A1E45"/>
    <w:multiLevelType w:val="multilevel"/>
    <w:tmpl w:val="C4CE97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0B38D8"/>
    <w:multiLevelType w:val="multilevel"/>
    <w:tmpl w:val="D750C1A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621B7554"/>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304A3"/>
    <w:multiLevelType w:val="multilevel"/>
    <w:tmpl w:val="B77CBC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5771B41"/>
    <w:multiLevelType w:val="multilevel"/>
    <w:tmpl w:val="357AE476"/>
    <w:lvl w:ilvl="0">
      <w:start w:val="1"/>
      <w:numFmt w:val="decimal"/>
      <w:lvlText w:val="%1"/>
      <w:lvlJc w:val="left"/>
      <w:pPr>
        <w:ind w:left="600" w:hanging="600"/>
      </w:pPr>
      <w:rPr>
        <w:rFonts w:hint="default"/>
      </w:rPr>
    </w:lvl>
    <w:lvl w:ilvl="1">
      <w:start w:val="6"/>
      <w:numFmt w:val="decimal"/>
      <w:lvlText w:val="%1.%2"/>
      <w:lvlJc w:val="left"/>
      <w:pPr>
        <w:ind w:left="4570" w:hanging="60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9"/>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AF"/>
    <w:rsid w:val="00074677"/>
    <w:rsid w:val="00156B4D"/>
    <w:rsid w:val="001A002B"/>
    <w:rsid w:val="002B601D"/>
    <w:rsid w:val="002F57FD"/>
    <w:rsid w:val="00343AAF"/>
    <w:rsid w:val="003C2FE1"/>
    <w:rsid w:val="003D000F"/>
    <w:rsid w:val="00496F66"/>
    <w:rsid w:val="00530394"/>
    <w:rsid w:val="00581813"/>
    <w:rsid w:val="005B4409"/>
    <w:rsid w:val="005B5B59"/>
    <w:rsid w:val="005B5F17"/>
    <w:rsid w:val="005C635D"/>
    <w:rsid w:val="005D6409"/>
    <w:rsid w:val="0060123C"/>
    <w:rsid w:val="006A6DCD"/>
    <w:rsid w:val="00727C1D"/>
    <w:rsid w:val="00733CDD"/>
    <w:rsid w:val="00740A45"/>
    <w:rsid w:val="00753A7B"/>
    <w:rsid w:val="00757DEE"/>
    <w:rsid w:val="00770A97"/>
    <w:rsid w:val="007A5D2A"/>
    <w:rsid w:val="007B5CC3"/>
    <w:rsid w:val="008031E4"/>
    <w:rsid w:val="008052DB"/>
    <w:rsid w:val="0085232B"/>
    <w:rsid w:val="00894A76"/>
    <w:rsid w:val="008C0031"/>
    <w:rsid w:val="00957F4F"/>
    <w:rsid w:val="00971286"/>
    <w:rsid w:val="009B3C4E"/>
    <w:rsid w:val="00A02995"/>
    <w:rsid w:val="00A10B60"/>
    <w:rsid w:val="00A21AEA"/>
    <w:rsid w:val="00A321FE"/>
    <w:rsid w:val="00A427EC"/>
    <w:rsid w:val="00A516AB"/>
    <w:rsid w:val="00A718B2"/>
    <w:rsid w:val="00A97305"/>
    <w:rsid w:val="00AB28D8"/>
    <w:rsid w:val="00AD7D0F"/>
    <w:rsid w:val="00AF1C7D"/>
    <w:rsid w:val="00AF3618"/>
    <w:rsid w:val="00B86D4D"/>
    <w:rsid w:val="00BC549D"/>
    <w:rsid w:val="00BD356C"/>
    <w:rsid w:val="00BE3B90"/>
    <w:rsid w:val="00C6676C"/>
    <w:rsid w:val="00D5197F"/>
    <w:rsid w:val="00D9317B"/>
    <w:rsid w:val="00DA073D"/>
    <w:rsid w:val="00DF6A28"/>
    <w:rsid w:val="00E53D1C"/>
    <w:rsid w:val="00F30390"/>
    <w:rsid w:val="00F6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AF"/>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343AA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343AAF"/>
    <w:rPr>
      <w:rFonts w:ascii="Cambria" w:eastAsia="Times New Roman" w:hAnsi="Cambria" w:cs="Cambria"/>
      <w:b/>
      <w:bCs/>
      <w:i/>
      <w:iCs/>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qFormat/>
    <w:rsid w:val="00343AAF"/>
    <w:pPr>
      <w:widowControl w:val="0"/>
      <w:autoSpaceDE w:val="0"/>
      <w:autoSpaceDN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343AA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1813"/>
    <w:rPr>
      <w:rFonts w:ascii="Tahoma" w:hAnsi="Tahoma" w:cs="Tahoma"/>
      <w:sz w:val="16"/>
      <w:szCs w:val="16"/>
    </w:rPr>
  </w:style>
  <w:style w:type="character" w:customStyle="1" w:styleId="a6">
    <w:name w:val="Текст выноски Знак"/>
    <w:basedOn w:val="a0"/>
    <w:link w:val="a5"/>
    <w:uiPriority w:val="99"/>
    <w:semiHidden/>
    <w:rsid w:val="00581813"/>
    <w:rPr>
      <w:rFonts w:ascii="Tahoma" w:eastAsia="Times New Roman" w:hAnsi="Tahoma" w:cs="Tahoma"/>
      <w:sz w:val="16"/>
      <w:szCs w:val="16"/>
      <w:lang w:eastAsia="ru-RU"/>
    </w:rPr>
  </w:style>
  <w:style w:type="paragraph" w:styleId="a7">
    <w:name w:val="List Paragraph"/>
    <w:basedOn w:val="a"/>
    <w:uiPriority w:val="34"/>
    <w:qFormat/>
    <w:rsid w:val="00770A97"/>
    <w:pPr>
      <w:ind w:left="720"/>
      <w:contextualSpacing/>
    </w:pPr>
  </w:style>
  <w:style w:type="character" w:styleId="a8">
    <w:name w:val="footnote reference"/>
    <w:qFormat/>
    <w:rsid w:val="007A5D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AF"/>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343AA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343AAF"/>
    <w:rPr>
      <w:rFonts w:ascii="Cambria" w:eastAsia="Times New Roman" w:hAnsi="Cambria" w:cs="Cambria"/>
      <w:b/>
      <w:bCs/>
      <w:i/>
      <w:iCs/>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qFormat/>
    <w:rsid w:val="00343AAF"/>
    <w:pPr>
      <w:widowControl w:val="0"/>
      <w:autoSpaceDE w:val="0"/>
      <w:autoSpaceDN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343AA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1813"/>
    <w:rPr>
      <w:rFonts w:ascii="Tahoma" w:hAnsi="Tahoma" w:cs="Tahoma"/>
      <w:sz w:val="16"/>
      <w:szCs w:val="16"/>
    </w:rPr>
  </w:style>
  <w:style w:type="character" w:customStyle="1" w:styleId="a6">
    <w:name w:val="Текст выноски Знак"/>
    <w:basedOn w:val="a0"/>
    <w:link w:val="a5"/>
    <w:uiPriority w:val="99"/>
    <w:semiHidden/>
    <w:rsid w:val="00581813"/>
    <w:rPr>
      <w:rFonts w:ascii="Tahoma" w:eastAsia="Times New Roman" w:hAnsi="Tahoma" w:cs="Tahoma"/>
      <w:sz w:val="16"/>
      <w:szCs w:val="16"/>
      <w:lang w:eastAsia="ru-RU"/>
    </w:rPr>
  </w:style>
  <w:style w:type="paragraph" w:styleId="a7">
    <w:name w:val="List Paragraph"/>
    <w:basedOn w:val="a"/>
    <w:uiPriority w:val="34"/>
    <w:qFormat/>
    <w:rsid w:val="00770A97"/>
    <w:pPr>
      <w:ind w:left="720"/>
      <w:contextualSpacing/>
    </w:pPr>
  </w:style>
  <w:style w:type="character" w:styleId="a8">
    <w:name w:val="footnote reference"/>
    <w:qFormat/>
    <w:rsid w:val="007A5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2</cp:revision>
  <cp:lastPrinted>2020-10-05T02:59:00Z</cp:lastPrinted>
  <dcterms:created xsi:type="dcterms:W3CDTF">2021-03-17T23:26:00Z</dcterms:created>
  <dcterms:modified xsi:type="dcterms:W3CDTF">2021-03-17T23:26:00Z</dcterms:modified>
</cp:coreProperties>
</file>