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6C" w:rsidRDefault="00BD356C" w:rsidP="00BD356C">
      <w:pPr>
        <w:jc w:val="right"/>
        <w:rPr>
          <w:b/>
        </w:rPr>
      </w:pPr>
      <w:r>
        <w:rPr>
          <w:b/>
        </w:rPr>
        <w:t xml:space="preserve">Утверждаю: </w:t>
      </w:r>
    </w:p>
    <w:p w:rsidR="00BD356C" w:rsidRPr="009B3C4E" w:rsidRDefault="00364EBF" w:rsidP="00BD356C">
      <w:pPr>
        <w:jc w:val="right"/>
      </w:pPr>
      <w:r>
        <w:t>Председатель</w:t>
      </w:r>
      <w:r w:rsidR="00BD356C" w:rsidRPr="009B3C4E">
        <w:t xml:space="preserve"> комиссии</w:t>
      </w:r>
    </w:p>
    <w:p w:rsidR="00BD356C" w:rsidRDefault="00BD356C" w:rsidP="00BD356C">
      <w:pPr>
        <w:jc w:val="right"/>
      </w:pPr>
      <w:r w:rsidRPr="009B3C4E">
        <w:t>по осуществлению закупок АО «ПКС»</w:t>
      </w:r>
    </w:p>
    <w:p w:rsidR="00BD356C" w:rsidRPr="009B3C4E" w:rsidRDefault="00BD356C" w:rsidP="00BD356C">
      <w:pPr>
        <w:jc w:val="right"/>
      </w:pPr>
    </w:p>
    <w:p w:rsidR="00BD356C" w:rsidRDefault="00BD356C" w:rsidP="00BD356C">
      <w:pPr>
        <w:jc w:val="right"/>
      </w:pPr>
      <w:r w:rsidRPr="009B3C4E">
        <w:t>______________________</w:t>
      </w:r>
      <w:r w:rsidR="00364EBF">
        <w:t xml:space="preserve"> </w:t>
      </w:r>
    </w:p>
    <w:p w:rsidR="00364EBF" w:rsidRPr="009B3C4E" w:rsidRDefault="00364EBF" w:rsidP="00BD356C">
      <w:pPr>
        <w:jc w:val="right"/>
      </w:pPr>
    </w:p>
    <w:p w:rsidR="00BD356C" w:rsidRDefault="00BD356C" w:rsidP="00BD356C">
      <w:pPr>
        <w:jc w:val="right"/>
      </w:pPr>
      <w:r>
        <w:t>«___»___________202</w:t>
      </w:r>
      <w:r w:rsidR="00364EBF">
        <w:t>1</w:t>
      </w:r>
    </w:p>
    <w:p w:rsidR="009B3C4E" w:rsidRDefault="009B3C4E" w:rsidP="00343AAF">
      <w:pPr>
        <w:jc w:val="right"/>
      </w:pPr>
    </w:p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343AAF" w:rsidRDefault="00343AAF" w:rsidP="00364EBF">
      <w:pPr>
        <w:jc w:val="center"/>
        <w:rPr>
          <w:b/>
          <w:bCs/>
        </w:rPr>
      </w:pPr>
      <w:r w:rsidRPr="00700F44">
        <w:rPr>
          <w:b/>
        </w:rPr>
        <w:t xml:space="preserve">в </w:t>
      </w:r>
      <w:r w:rsidR="005B4409">
        <w:rPr>
          <w:b/>
        </w:rPr>
        <w:t xml:space="preserve">извещение и </w:t>
      </w:r>
      <w:r w:rsidRPr="00700F44">
        <w:rPr>
          <w:b/>
        </w:rPr>
        <w:t>аукционную документацию по о</w:t>
      </w:r>
      <w:r w:rsidRPr="00700F44">
        <w:rPr>
          <w:b/>
          <w:bCs/>
        </w:rPr>
        <w:t xml:space="preserve">ткрытому </w:t>
      </w:r>
      <w:r w:rsidR="00DA073D" w:rsidRPr="00DA073D">
        <w:rPr>
          <w:b/>
          <w:bCs/>
        </w:rPr>
        <w:t>аукцион</w:t>
      </w:r>
      <w:r w:rsidR="00DA073D">
        <w:rPr>
          <w:b/>
          <w:bCs/>
        </w:rPr>
        <w:t>у</w:t>
      </w:r>
      <w:r w:rsidR="00DA073D" w:rsidRPr="00DA073D">
        <w:rPr>
          <w:b/>
          <w:bCs/>
        </w:rPr>
        <w:t xml:space="preserve"> в электронной форме</w:t>
      </w:r>
      <w:r w:rsidR="00364EBF">
        <w:rPr>
          <w:b/>
          <w:bCs/>
        </w:rPr>
        <w:t>, участниками которого вправе быть исключительно субъекты малого и среднего предпринимательства № 57/ОАЭ-ПКС/Т на право заключения договора поставки сервера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5B4409" w:rsidRPr="00733CDD" w:rsidRDefault="005B4409" w:rsidP="005B440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33CDD">
        <w:rPr>
          <w:b/>
          <w:i/>
          <w:color w:val="000000"/>
        </w:rPr>
        <w:t>Изменения в извещение:</w:t>
      </w:r>
    </w:p>
    <w:p w:rsidR="005B4409" w:rsidRPr="005B4409" w:rsidRDefault="005B4409" w:rsidP="005B440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B4409" w:rsidRPr="005B4409" w:rsidRDefault="005B4409" w:rsidP="00753A7B">
      <w:pPr>
        <w:spacing w:line="0" w:lineRule="atLeast"/>
        <w:jc w:val="both"/>
        <w:rPr>
          <w:b/>
          <w:i/>
        </w:rPr>
      </w:pPr>
      <w:bookmarkStart w:id="0" w:name="_Hlk2258305"/>
      <w:r w:rsidRPr="005B4409">
        <w:rPr>
          <w:b/>
          <w:i/>
          <w:color w:val="000000"/>
        </w:rPr>
        <w:t>Позиции №</w:t>
      </w:r>
      <w:r w:rsidRPr="005B4409">
        <w:rPr>
          <w:b/>
          <w:i/>
        </w:rPr>
        <w:t xml:space="preserve"> 11 и № 12 изложить в следующей редакции: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10"/>
        <w:gridCol w:w="2295"/>
        <w:gridCol w:w="6660"/>
      </w:tblGrid>
      <w:tr w:rsidR="00364EBF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center"/>
              <w:rPr>
                <w:bCs/>
              </w:rPr>
            </w:pPr>
            <w:bookmarkStart w:id="1" w:name="_Hlk2258334"/>
            <w:bookmarkEnd w:id="0"/>
            <w:r w:rsidRPr="00364EBF">
              <w:rPr>
                <w:bCs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both"/>
              <w:rPr>
                <w:b/>
                <w:bCs/>
              </w:rPr>
            </w:pPr>
            <w:r w:rsidRPr="00364EBF">
              <w:t>Дата начала подачи заявок - с момента опубликования извещения</w:t>
            </w:r>
            <w:r w:rsidRPr="00364EBF">
              <w:rPr>
                <w:bCs/>
              </w:rPr>
              <w:t xml:space="preserve"> и документации </w:t>
            </w:r>
            <w:r w:rsidRPr="00364EBF">
              <w:t>на сайтах</w:t>
            </w:r>
            <w:r w:rsidRPr="00364EBF">
              <w:rPr>
                <w:b/>
                <w:bCs/>
              </w:rPr>
              <w:t xml:space="preserve"> </w:t>
            </w:r>
            <w:r w:rsidRPr="00364EBF">
              <w:rPr>
                <w:b/>
                <w:bCs/>
                <w:i/>
              </w:rPr>
              <w:t xml:space="preserve">– </w:t>
            </w:r>
            <w:r w:rsidRPr="00364EBF">
              <w:rPr>
                <w:b/>
                <w:bCs/>
              </w:rPr>
              <w:t>«30» марта 2021 года</w:t>
            </w:r>
            <w:r w:rsidRPr="00364EBF">
              <w:rPr>
                <w:b/>
                <w:bCs/>
                <w:i/>
              </w:rPr>
              <w:t>.</w:t>
            </w:r>
          </w:p>
          <w:p w:rsidR="00364EBF" w:rsidRPr="00364EBF" w:rsidRDefault="00364EBF" w:rsidP="00364EBF">
            <w:pPr>
              <w:jc w:val="both"/>
              <w:rPr>
                <w:b/>
                <w:bCs/>
              </w:rPr>
            </w:pPr>
            <w:r w:rsidRPr="00364EBF">
              <w:t>Дата окончания срока подачи заявок –</w:t>
            </w:r>
            <w:r w:rsidRPr="00364EBF">
              <w:rPr>
                <w:b/>
                <w:bCs/>
              </w:rPr>
              <w:t xml:space="preserve"> </w:t>
            </w:r>
          </w:p>
          <w:p w:rsidR="00364EBF" w:rsidRPr="00364EBF" w:rsidRDefault="00364EBF" w:rsidP="00364EBF">
            <w:pPr>
              <w:jc w:val="both"/>
              <w:rPr>
                <w:bCs/>
                <w:i/>
              </w:rPr>
            </w:pPr>
            <w:r w:rsidRPr="00364EBF">
              <w:rPr>
                <w:b/>
                <w:bCs/>
              </w:rPr>
              <w:t>«19» апреля 2021 года</w:t>
            </w:r>
            <w:r w:rsidRPr="00364EBF">
              <w:rPr>
                <w:b/>
                <w:bCs/>
                <w:i/>
              </w:rPr>
              <w:t xml:space="preserve"> </w:t>
            </w:r>
            <w:r w:rsidRPr="00364EBF">
              <w:rPr>
                <w:bCs/>
              </w:rPr>
              <w:t xml:space="preserve">в </w:t>
            </w:r>
            <w:r w:rsidRPr="00364EBF">
              <w:rPr>
                <w:b/>
                <w:bCs/>
              </w:rPr>
              <w:t>02:00</w:t>
            </w:r>
            <w:r w:rsidRPr="00364EBF">
              <w:rPr>
                <w:bCs/>
              </w:rPr>
              <w:t xml:space="preserve"> ч. московского времени. 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Заявки на участие в аукционе </w:t>
            </w:r>
            <w:r w:rsidRPr="00364EBF">
              <w:rPr>
                <w:b/>
                <w:bCs/>
              </w:rPr>
              <w:t>№ 57/ОАЭ-ПКС/Т</w:t>
            </w:r>
            <w:r w:rsidRPr="00364EBF">
              <w:rPr>
                <w:bCs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364EBF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center"/>
              <w:rPr>
                <w:bCs/>
              </w:rPr>
            </w:pPr>
            <w:r w:rsidRPr="00364EBF">
              <w:rPr>
                <w:bCs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 подведения итогов закупки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Рассмотрение первых частей заявок осуществляется </w:t>
            </w:r>
            <w:r w:rsidRPr="00364EBF">
              <w:rPr>
                <w:b/>
                <w:bCs/>
              </w:rPr>
              <w:t>«21» апреля 2021 г.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Дата и время начала аукциона </w:t>
            </w:r>
            <w:r w:rsidRPr="00364EBF">
              <w:rPr>
                <w:b/>
                <w:bCs/>
              </w:rPr>
              <w:t>«23» апреля 2021 г.</w:t>
            </w:r>
            <w:r w:rsidRPr="00364EBF">
              <w:rPr>
                <w:bCs/>
              </w:rPr>
              <w:t xml:space="preserve"> в </w:t>
            </w:r>
            <w:r w:rsidRPr="00364EBF">
              <w:rPr>
                <w:b/>
                <w:bCs/>
              </w:rPr>
              <w:t>09:00</w:t>
            </w:r>
            <w:r w:rsidRPr="00364EBF">
              <w:rPr>
                <w:bCs/>
              </w:rPr>
              <w:t xml:space="preserve"> ч. московского времени.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Рассмотрение вторых частей заявок осуществляется </w:t>
            </w:r>
            <w:r w:rsidRPr="00364EBF">
              <w:rPr>
                <w:b/>
                <w:bCs/>
              </w:rPr>
              <w:t>«27» апреля 2021 г.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Подведение итогов закупки осуществляется </w:t>
            </w:r>
            <w:r w:rsidRPr="00364EBF">
              <w:rPr>
                <w:b/>
                <w:bCs/>
              </w:rPr>
              <w:t>«27» апреля 2021 г.</w:t>
            </w:r>
          </w:p>
          <w:p w:rsidR="00364EBF" w:rsidRPr="00364EBF" w:rsidRDefault="00364EBF" w:rsidP="00364EBF">
            <w:pPr>
              <w:jc w:val="both"/>
              <w:rPr>
                <w:bCs/>
              </w:rPr>
            </w:pPr>
            <w:r w:rsidRPr="00364EBF">
              <w:rPr>
                <w:bCs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1"/>
    </w:tbl>
    <w:p w:rsidR="005B4409" w:rsidRP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5B4409" w:rsidP="00770A97">
      <w:pPr>
        <w:jc w:val="both"/>
        <w:rPr>
          <w:b/>
          <w:i/>
        </w:rPr>
      </w:pPr>
      <w:r w:rsidRPr="00733CDD">
        <w:rPr>
          <w:b/>
          <w:i/>
        </w:rPr>
        <w:t>2</w:t>
      </w:r>
      <w:r w:rsidR="00343AAF" w:rsidRPr="00733CDD">
        <w:rPr>
          <w:b/>
          <w:i/>
        </w:rPr>
        <w:t xml:space="preserve">. </w:t>
      </w:r>
      <w:r w:rsidR="00343AAF" w:rsidRPr="00733CDD">
        <w:rPr>
          <w:b/>
          <w:bCs/>
          <w:i/>
        </w:rPr>
        <w:t>Изменения в</w:t>
      </w:r>
      <w:r w:rsidR="00343AAF"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33CDD" w:rsidRDefault="00733CDD" w:rsidP="00770A97">
      <w:pPr>
        <w:jc w:val="both"/>
        <w:rPr>
          <w:bCs/>
          <w:iCs/>
        </w:rPr>
      </w:pPr>
      <w:r w:rsidRPr="00733CDD">
        <w:rPr>
          <w:b/>
        </w:rPr>
        <w:t xml:space="preserve">Пункты 2.2, 2.3, 2.4 Части 2. </w:t>
      </w:r>
      <w:r w:rsidRPr="00733CDD">
        <w:rPr>
          <w:b/>
          <w:bCs/>
          <w:iCs/>
        </w:rPr>
        <w:t>Сроки проведения закупки, контактные данные изложить в следующей редакции</w:t>
      </w:r>
      <w:r>
        <w:rPr>
          <w:bCs/>
          <w:iCs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54"/>
        <w:gridCol w:w="6662"/>
      </w:tblGrid>
      <w:tr w:rsidR="00364EBF" w:rsidRPr="00364EBF" w:rsidTr="00364EBF">
        <w:tc>
          <w:tcPr>
            <w:tcW w:w="1049" w:type="dxa"/>
          </w:tcPr>
          <w:p w:rsidR="00364EBF" w:rsidRPr="00364EBF" w:rsidRDefault="00364EBF" w:rsidP="003A06C6">
            <w:r w:rsidRPr="00364EBF">
              <w:t>2.2</w:t>
            </w:r>
          </w:p>
        </w:tc>
        <w:tc>
          <w:tcPr>
            <w:tcW w:w="2354" w:type="dxa"/>
          </w:tcPr>
          <w:p w:rsidR="00364EBF" w:rsidRPr="00364EBF" w:rsidRDefault="00364EBF" w:rsidP="003A06C6">
            <w:r w:rsidRPr="00364EBF">
              <w:t>Порядок, место, дата начала и окончания срока подачи заявок</w:t>
            </w:r>
          </w:p>
        </w:tc>
        <w:tc>
          <w:tcPr>
            <w:tcW w:w="6662" w:type="dxa"/>
          </w:tcPr>
          <w:p w:rsidR="00364EBF" w:rsidRPr="00364EBF" w:rsidRDefault="00364EBF" w:rsidP="003A06C6">
            <w:pPr>
              <w:ind w:firstLine="709"/>
              <w:jc w:val="both"/>
              <w:rPr>
                <w:bCs/>
                <w:i/>
              </w:rPr>
            </w:pPr>
            <w:r w:rsidRPr="00364EBF">
              <w:rPr>
                <w:bCs/>
              </w:rPr>
              <w:t xml:space="preserve">Заявки (части заявок) подаются в порядке, указанном в пункте 3.14 аукционной документации, на электронной площадке «РТС-тендер» (на странице данного аукциона на сайте </w:t>
            </w:r>
            <w:r w:rsidRPr="00364EBF">
              <w:t xml:space="preserve"> </w:t>
            </w:r>
            <w:r w:rsidRPr="00364EBF">
              <w:rPr>
                <w:bCs/>
              </w:rPr>
              <w:t xml:space="preserve">https://www.rts-tender.ru) (далее – электронная площадка, ЭТЗП, сайт ЭТЗП). 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  <w:i/>
              </w:rPr>
            </w:pPr>
            <w:r w:rsidRPr="00364EBF">
              <w:rPr>
                <w:bCs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364EBF">
              <w:t>далее – единая информационная система, ЕИС</w:t>
            </w:r>
            <w:r w:rsidRPr="00364EBF">
              <w:rPr>
                <w:bCs/>
              </w:rPr>
              <w:t>), на сайте</w:t>
            </w:r>
            <w:r w:rsidRPr="00364EBF">
              <w:t xml:space="preserve"> </w:t>
            </w:r>
            <w:r w:rsidRPr="00364EBF">
              <w:rPr>
                <w:bCs/>
              </w:rPr>
              <w:t>Заказчика</w:t>
            </w:r>
            <w:r w:rsidRPr="00364EBF">
              <w:rPr>
                <w:bCs/>
                <w:i/>
              </w:rPr>
              <w:t xml:space="preserve"> </w:t>
            </w:r>
            <w:hyperlink r:id="rId5" w:history="1">
              <w:r w:rsidRPr="00364EBF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364EBF">
                <w:rPr>
                  <w:bCs/>
                  <w:color w:val="0000FF"/>
                  <w:u w:val="single"/>
                </w:rPr>
                <w:t>.</w:t>
              </w:r>
              <w:r w:rsidRPr="00364EBF">
                <w:rPr>
                  <w:bCs/>
                  <w:color w:val="0000FF"/>
                  <w:u w:val="single"/>
                  <w:lang w:val="en-US"/>
                </w:rPr>
                <w:t>pk</w:t>
              </w:r>
              <w:r w:rsidRPr="00364EBF">
                <w:rPr>
                  <w:bCs/>
                  <w:color w:val="0000FF"/>
                  <w:u w:val="single"/>
                </w:rPr>
                <w:t>-</w:t>
              </w:r>
              <w:proofErr w:type="spellStart"/>
              <w:r w:rsidRPr="00364EBF">
                <w:rPr>
                  <w:bCs/>
                  <w:color w:val="0000FF"/>
                  <w:u w:val="single"/>
                  <w:lang w:val="en-US"/>
                </w:rPr>
                <w:lastRenderedPageBreak/>
                <w:t>sakhalin</w:t>
              </w:r>
              <w:proofErr w:type="spellEnd"/>
              <w:r w:rsidRPr="00364EBF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364EBF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64EBF">
              <w:rPr>
                <w:bCs/>
              </w:rPr>
              <w:t xml:space="preserve"> (раздел «Сотрудничество»), (далее – сайты)</w:t>
            </w:r>
            <w:r w:rsidRPr="00364EBF">
              <w:rPr>
                <w:bCs/>
                <w:i/>
              </w:rPr>
              <w:t xml:space="preserve"> </w:t>
            </w:r>
            <w:r w:rsidRPr="00364EBF">
              <w:rPr>
                <w:b/>
                <w:bCs/>
              </w:rPr>
              <w:t>«30» марта 2021 года</w:t>
            </w:r>
            <w:r w:rsidRPr="00364EBF">
              <w:rPr>
                <w:bCs/>
                <w:i/>
              </w:rPr>
              <w:t>.</w:t>
            </w:r>
          </w:p>
          <w:p w:rsidR="00364EBF" w:rsidRPr="00364EBF" w:rsidRDefault="00364EBF" w:rsidP="003A06C6">
            <w:pPr>
              <w:ind w:firstLine="709"/>
              <w:jc w:val="both"/>
            </w:pPr>
            <w:r w:rsidRPr="00364EBF">
              <w:rPr>
                <w:bCs/>
              </w:rPr>
              <w:t xml:space="preserve">Дата окончания срока подачи аукционных заявок – </w:t>
            </w:r>
            <w:r w:rsidRPr="00364EBF">
              <w:rPr>
                <w:b/>
              </w:rPr>
              <w:t>02:00</w:t>
            </w:r>
            <w:r w:rsidRPr="00364EBF">
              <w:t xml:space="preserve"> часов московского времени  </w:t>
            </w:r>
            <w:r w:rsidRPr="00364EBF">
              <w:rPr>
                <w:b/>
                <w:bCs/>
              </w:rPr>
              <w:t>«19» апреля 2021 года.</w:t>
            </w:r>
          </w:p>
        </w:tc>
      </w:tr>
      <w:tr w:rsidR="00364EBF" w:rsidRPr="00364EBF" w:rsidTr="00364EBF">
        <w:tc>
          <w:tcPr>
            <w:tcW w:w="1049" w:type="dxa"/>
          </w:tcPr>
          <w:p w:rsidR="00364EBF" w:rsidRPr="00364EBF" w:rsidRDefault="00364EBF" w:rsidP="003A06C6">
            <w:r w:rsidRPr="00364EBF">
              <w:lastRenderedPageBreak/>
              <w:t>2.3</w:t>
            </w:r>
          </w:p>
        </w:tc>
        <w:tc>
          <w:tcPr>
            <w:tcW w:w="2354" w:type="dxa"/>
          </w:tcPr>
          <w:p w:rsidR="00364EBF" w:rsidRPr="00364EBF" w:rsidRDefault="00364EBF" w:rsidP="003A06C6">
            <w:r w:rsidRPr="00364EBF">
              <w:t xml:space="preserve">Дата рассмотрения заявок участников аукциона, проведения аукциона </w:t>
            </w:r>
          </w:p>
        </w:tc>
        <w:tc>
          <w:tcPr>
            <w:tcW w:w="6662" w:type="dxa"/>
          </w:tcPr>
          <w:p w:rsidR="00364EBF" w:rsidRPr="00364EBF" w:rsidRDefault="00364EBF" w:rsidP="003A06C6">
            <w:pPr>
              <w:ind w:firstLine="709"/>
              <w:jc w:val="both"/>
              <w:rPr>
                <w:bCs/>
              </w:rPr>
            </w:pPr>
            <w:r w:rsidRPr="00364EBF">
              <w:rPr>
                <w:bCs/>
              </w:rPr>
              <w:t xml:space="preserve">Рассмотрение первых частей аукционных заявок осуществляется </w:t>
            </w:r>
            <w:r w:rsidRPr="00364EBF">
              <w:rPr>
                <w:b/>
                <w:bCs/>
              </w:rPr>
              <w:t>«21» апреля 2021 года.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</w:rPr>
            </w:pPr>
            <w:r w:rsidRPr="00364EBF">
              <w:rPr>
                <w:bCs/>
              </w:rPr>
              <w:t xml:space="preserve">Дата и время начала аукциона (дата сопоставления ценовых предложений) </w:t>
            </w:r>
            <w:r w:rsidRPr="00364EBF">
              <w:rPr>
                <w:b/>
              </w:rPr>
              <w:t>09:00</w:t>
            </w:r>
            <w:r w:rsidRPr="00364EBF">
              <w:t xml:space="preserve"> часов московского времени </w:t>
            </w:r>
            <w:r w:rsidRPr="00364EBF">
              <w:rPr>
                <w:b/>
                <w:bCs/>
              </w:rPr>
              <w:t>«23» апреля 2021 года.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  <w:i/>
              </w:rPr>
            </w:pPr>
            <w:r w:rsidRPr="00364EBF">
              <w:rPr>
                <w:bCs/>
              </w:rPr>
              <w:t xml:space="preserve">Дата начала рассмотрения вторых частей заявок </w:t>
            </w:r>
            <w:r w:rsidRPr="00364EBF">
              <w:rPr>
                <w:b/>
                <w:bCs/>
              </w:rPr>
              <w:t>«27» апреля 2021 года.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  <w:i/>
              </w:rPr>
            </w:pPr>
            <w:r w:rsidRPr="00364EBF">
              <w:rPr>
                <w:bCs/>
              </w:rPr>
              <w:t>Подведение итогов аукциона осуществляется</w:t>
            </w:r>
            <w:r w:rsidRPr="00364EBF">
              <w:rPr>
                <w:bCs/>
                <w:i/>
              </w:rPr>
              <w:t xml:space="preserve"> </w:t>
            </w:r>
            <w:r w:rsidRPr="00364EBF">
              <w:rPr>
                <w:b/>
                <w:bCs/>
              </w:rPr>
              <w:t>«27» апреля 2021 года.</w:t>
            </w:r>
          </w:p>
        </w:tc>
      </w:tr>
      <w:tr w:rsidR="00364EBF" w:rsidRPr="00364EBF" w:rsidTr="00364EBF">
        <w:tc>
          <w:tcPr>
            <w:tcW w:w="1049" w:type="dxa"/>
          </w:tcPr>
          <w:p w:rsidR="00364EBF" w:rsidRPr="00364EBF" w:rsidRDefault="00364EBF" w:rsidP="003A06C6">
            <w:r w:rsidRPr="00364EBF">
              <w:t>2.4</w:t>
            </w:r>
          </w:p>
        </w:tc>
        <w:tc>
          <w:tcPr>
            <w:tcW w:w="2354" w:type="dxa"/>
          </w:tcPr>
          <w:p w:rsidR="00364EBF" w:rsidRPr="00364EBF" w:rsidRDefault="00364EBF" w:rsidP="003A06C6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Порядок направления запросов на разъяснение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 и предоставления разъяснений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</w:t>
            </w:r>
          </w:p>
          <w:p w:rsidR="00364EBF" w:rsidRPr="00364EBF" w:rsidRDefault="00364EBF" w:rsidP="003A06C6"/>
        </w:tc>
        <w:tc>
          <w:tcPr>
            <w:tcW w:w="6662" w:type="dxa"/>
          </w:tcPr>
          <w:p w:rsidR="00364EBF" w:rsidRPr="00364EBF" w:rsidRDefault="00364EBF" w:rsidP="003A06C6">
            <w:pPr>
              <w:ind w:firstLine="709"/>
              <w:jc w:val="both"/>
              <w:rPr>
                <w:bCs/>
              </w:rPr>
            </w:pPr>
            <w:r w:rsidRPr="00364EBF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3.5 аукционной документации.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</w:rPr>
            </w:pPr>
            <w:r w:rsidRPr="00364EBF">
              <w:rPr>
                <w:bCs/>
              </w:rPr>
              <w:t>Срок направления участниками запросов на разъяснение положений аукционной документации: с «30» марта 2021г. по 9:00 часов московского времени  «13» апреля 2021г. (включительно).</w:t>
            </w:r>
          </w:p>
          <w:p w:rsidR="00364EBF" w:rsidRPr="00364EBF" w:rsidRDefault="00364EBF" w:rsidP="003A06C6">
            <w:pPr>
              <w:ind w:firstLine="709"/>
              <w:jc w:val="both"/>
              <w:rPr>
                <w:bCs/>
              </w:rPr>
            </w:pPr>
            <w:r w:rsidRPr="00364EBF">
              <w:rPr>
                <w:bCs/>
              </w:rPr>
              <w:t>Дата начала срока предоставления участникам разъяснений положений аукционной документации: «30» марта 2021 г.</w:t>
            </w:r>
          </w:p>
          <w:p w:rsidR="00364EBF" w:rsidRPr="00364EBF" w:rsidRDefault="00364EBF" w:rsidP="003A06C6">
            <w:pPr>
              <w:ind w:firstLine="709"/>
              <w:jc w:val="both"/>
            </w:pPr>
            <w:r w:rsidRPr="00364EBF">
              <w:rPr>
                <w:bCs/>
              </w:rPr>
              <w:t>Дата окончания срока предоставления участникам разъяснений положений аукционной документации: 9:00 часов московского времени «16» апреля 2021г.</w:t>
            </w:r>
          </w:p>
        </w:tc>
      </w:tr>
    </w:tbl>
    <w:p w:rsidR="00733CDD" w:rsidRPr="00733CDD" w:rsidRDefault="00733CDD" w:rsidP="00770A97">
      <w:pPr>
        <w:jc w:val="both"/>
        <w:rPr>
          <w:i/>
        </w:rPr>
      </w:pPr>
    </w:p>
    <w:p w:rsidR="00343AAF" w:rsidRPr="00770A97" w:rsidRDefault="00222454" w:rsidP="00770A97">
      <w:pPr>
        <w:jc w:val="both"/>
        <w:rPr>
          <w:b/>
          <w:i/>
        </w:rPr>
      </w:pPr>
      <w:r>
        <w:rPr>
          <w:b/>
        </w:rPr>
        <w:t xml:space="preserve">Подпункт «Серверная платформа» пункта «Технические и функциональные характеристики товара» раздела 2 Требования к товарам Технического задания - </w:t>
      </w:r>
      <w:r w:rsidR="00156B4D">
        <w:rPr>
          <w:b/>
        </w:rPr>
        <w:t>Приложение № 1.1 к аукционной документации</w:t>
      </w:r>
      <w:r w:rsidR="00A97305">
        <w:rPr>
          <w:b/>
        </w:rPr>
        <w:t xml:space="preserve"> и </w:t>
      </w:r>
      <w:r w:rsidR="00A516AB">
        <w:rPr>
          <w:b/>
        </w:rPr>
        <w:t>Техническ</w:t>
      </w:r>
      <w:r>
        <w:rPr>
          <w:b/>
        </w:rPr>
        <w:t>ого задания - П</w:t>
      </w:r>
      <w:r w:rsidR="00A516AB">
        <w:rPr>
          <w:b/>
        </w:rPr>
        <w:t>риложени</w:t>
      </w:r>
      <w:r>
        <w:rPr>
          <w:b/>
        </w:rPr>
        <w:t>я</w:t>
      </w:r>
      <w:r w:rsidR="00A516AB">
        <w:rPr>
          <w:b/>
        </w:rPr>
        <w:t xml:space="preserve"> № 1 </w:t>
      </w:r>
      <w:r w:rsidR="00A427EC">
        <w:rPr>
          <w:b/>
        </w:rPr>
        <w:t>к Проекту договора поставки (Приложение № 1.2 к аукционной документации)</w:t>
      </w:r>
      <w:r w:rsidR="00343AAF" w:rsidRPr="00770A97">
        <w:rPr>
          <w:b/>
        </w:rPr>
        <w:t xml:space="preserve"> изложить в следующей редакции:</w:t>
      </w:r>
    </w:p>
    <w:p w:rsidR="00770A97" w:rsidRDefault="00770A97" w:rsidP="00770A97">
      <w:pPr>
        <w:ind w:firstLine="720"/>
        <w:jc w:val="both"/>
        <w:rPr>
          <w:rFonts w:eastAsia="Calibri"/>
        </w:rPr>
      </w:pPr>
    </w:p>
    <w:p w:rsidR="00222454" w:rsidRPr="003F478B" w:rsidRDefault="00156B4D" w:rsidP="00222454">
      <w:pPr>
        <w:tabs>
          <w:tab w:val="left" w:pos="0"/>
        </w:tabs>
        <w:spacing w:line="257" w:lineRule="auto"/>
        <w:contextualSpacing/>
        <w:jc w:val="both"/>
        <w:rPr>
          <w:b/>
        </w:rPr>
      </w:pPr>
      <w:r>
        <w:rPr>
          <w:rFonts w:eastAsia="Calibri"/>
        </w:rPr>
        <w:t>«</w:t>
      </w:r>
      <w:r w:rsidR="00222454" w:rsidRPr="003F478B">
        <w:rPr>
          <w:b/>
        </w:rPr>
        <w:t xml:space="preserve">Серверная платформа: 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корпус 2U (с установленной в нём материнской платой) стоечного исполнения;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габариты: не более 720x485x90 мм;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наличие индикаторов питания, активности жестких дисков, индикаторов сетевой активности, системного перегрева;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защитная лицевая запираемая на ключ панель – наличие;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количество блоков питания – не менее 2 шт.;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 xml:space="preserve">уровень блоков питания – не ниже </w:t>
      </w:r>
      <w:proofErr w:type="spellStart"/>
      <w:r>
        <w:t>Platinum</w:t>
      </w:r>
      <w:proofErr w:type="spellEnd"/>
      <w:r>
        <w:t>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мощность блока питания c резервированием по схеме (1+1) – не менее 750 Вт;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возможность «горячей» замены блоков питания;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слоты PCI: PCI-E 16x, PCI-E 8x;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разъём USB 3.0 – не менее 2 шт. на задней панели, не менее 1 шт. внутренний;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разъём USB 2.0 – не менее 2 шт. на лицевой панели;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управляющий USB для сбора статистики из модуля удаленного управления – не менее 1 шт. на передней панели;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proofErr w:type="spellStart"/>
      <w:r>
        <w:t>видеоразъём</w:t>
      </w:r>
      <w:proofErr w:type="spellEnd"/>
      <w:r>
        <w:t xml:space="preserve"> VGA – не менее 1 шт. на задней панели;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proofErr w:type="spellStart"/>
      <w:r>
        <w:t>видеоразъём</w:t>
      </w:r>
      <w:proofErr w:type="spellEnd"/>
      <w:r>
        <w:t xml:space="preserve"> VGA – не менее 1 шт. на передней панели;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COM порт – не менее 1 шт.;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вентилятор охлаждения с возможностью «горячей» замены – не менее 6 шт.;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lastRenderedPageBreak/>
        <w:t>сетевой контроллер – не менее 2 портов, не менее 1000 Мбит/с каждый;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тип подключения для портов 1GbE - RJ45;</w:t>
      </w:r>
    </w:p>
    <w:p w:rsid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порт управления сервером в условиях отсутствия физического доступа – не менее 1 шт. Тип подключения - RJ45;</w:t>
      </w:r>
    </w:p>
    <w:p w:rsidR="00156B4D" w:rsidRPr="00222454" w:rsidRDefault="00222454" w:rsidP="00222454">
      <w:pPr>
        <w:tabs>
          <w:tab w:val="left" w:pos="0"/>
        </w:tabs>
        <w:spacing w:line="257" w:lineRule="auto"/>
        <w:contextualSpacing/>
        <w:jc w:val="both"/>
      </w:pPr>
      <w:r>
        <w:t>рельсы для крепления в стойку – наличие</w:t>
      </w:r>
      <w:r w:rsidR="00156B4D">
        <w:rPr>
          <w:rFonts w:eastAsia="Calibri"/>
        </w:rPr>
        <w:t>»</w:t>
      </w:r>
      <w:r w:rsidR="00156B4D" w:rsidRPr="00156B4D">
        <w:rPr>
          <w:rFonts w:eastAsia="Calibri"/>
        </w:rPr>
        <w:t>.</w:t>
      </w:r>
    </w:p>
    <w:p w:rsidR="00156B4D" w:rsidRDefault="00156B4D" w:rsidP="00770A97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bookmarkStart w:id="2" w:name="_GoBack"/>
      <w:bookmarkEnd w:id="2"/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F"/>
    <w:rsid w:val="00074677"/>
    <w:rsid w:val="00156B4D"/>
    <w:rsid w:val="00222454"/>
    <w:rsid w:val="00343AAF"/>
    <w:rsid w:val="00364EBF"/>
    <w:rsid w:val="003D000F"/>
    <w:rsid w:val="00496F66"/>
    <w:rsid w:val="00581813"/>
    <w:rsid w:val="005B4409"/>
    <w:rsid w:val="005B5B59"/>
    <w:rsid w:val="0060123C"/>
    <w:rsid w:val="00727C1D"/>
    <w:rsid w:val="00733CDD"/>
    <w:rsid w:val="00753A7B"/>
    <w:rsid w:val="00770A97"/>
    <w:rsid w:val="008031E4"/>
    <w:rsid w:val="00957F4F"/>
    <w:rsid w:val="00971286"/>
    <w:rsid w:val="009B3C4E"/>
    <w:rsid w:val="00A02995"/>
    <w:rsid w:val="00A21AEA"/>
    <w:rsid w:val="00A231F9"/>
    <w:rsid w:val="00A321FE"/>
    <w:rsid w:val="00A427EC"/>
    <w:rsid w:val="00A516AB"/>
    <w:rsid w:val="00A97305"/>
    <w:rsid w:val="00BD356C"/>
    <w:rsid w:val="00C6676C"/>
    <w:rsid w:val="00D9317B"/>
    <w:rsid w:val="00DA073D"/>
    <w:rsid w:val="00E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BE56"/>
  <w15:docId w15:val="{A864E95C-CD16-4A5D-9B89-D361588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4</cp:revision>
  <cp:lastPrinted>2020-01-23T04:52:00Z</cp:lastPrinted>
  <dcterms:created xsi:type="dcterms:W3CDTF">2021-04-12T05:00:00Z</dcterms:created>
  <dcterms:modified xsi:type="dcterms:W3CDTF">2021-04-13T00:04:00Z</dcterms:modified>
</cp:coreProperties>
</file>