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4E" w:rsidRDefault="009B3C4E" w:rsidP="00343AAF">
      <w:pPr>
        <w:jc w:val="right"/>
      </w:pPr>
    </w:p>
    <w:p w:rsidR="00BD356C" w:rsidRPr="009B3C4E" w:rsidRDefault="00BD356C" w:rsidP="00343AAF">
      <w:pPr>
        <w:jc w:val="right"/>
      </w:pPr>
    </w:p>
    <w:p w:rsidR="00343AAF" w:rsidRPr="00700F44" w:rsidRDefault="00343AAF" w:rsidP="00343AAF">
      <w:pPr>
        <w:jc w:val="center"/>
        <w:rPr>
          <w:b/>
        </w:rPr>
      </w:pPr>
      <w:r w:rsidRPr="00700F44">
        <w:rPr>
          <w:b/>
        </w:rPr>
        <w:t>И</w:t>
      </w:r>
      <w:r w:rsidR="00DA073D">
        <w:rPr>
          <w:b/>
        </w:rPr>
        <w:t>ЗМЕНЕНИЯ</w:t>
      </w:r>
    </w:p>
    <w:p w:rsidR="00343AAF" w:rsidRDefault="00343AAF" w:rsidP="00364EBF">
      <w:pPr>
        <w:jc w:val="center"/>
        <w:rPr>
          <w:b/>
          <w:bCs/>
        </w:rPr>
      </w:pPr>
      <w:r w:rsidRPr="00700F44">
        <w:rPr>
          <w:b/>
        </w:rPr>
        <w:t xml:space="preserve">в </w:t>
      </w:r>
      <w:r w:rsidR="005B4409">
        <w:rPr>
          <w:b/>
        </w:rPr>
        <w:t xml:space="preserve">извещение и </w:t>
      </w:r>
      <w:r w:rsidRPr="00700F44">
        <w:rPr>
          <w:b/>
        </w:rPr>
        <w:t>аукционную документацию по о</w:t>
      </w:r>
      <w:r w:rsidRPr="00700F44">
        <w:rPr>
          <w:b/>
          <w:bCs/>
        </w:rPr>
        <w:t xml:space="preserve">ткрытому </w:t>
      </w:r>
      <w:r w:rsidR="00DA073D" w:rsidRPr="00DA073D">
        <w:rPr>
          <w:b/>
          <w:bCs/>
        </w:rPr>
        <w:t>аукцион</w:t>
      </w:r>
      <w:r w:rsidR="00DA073D">
        <w:rPr>
          <w:b/>
          <w:bCs/>
        </w:rPr>
        <w:t>у</w:t>
      </w:r>
      <w:r w:rsidR="00DA073D" w:rsidRPr="00DA073D">
        <w:rPr>
          <w:b/>
          <w:bCs/>
        </w:rPr>
        <w:t xml:space="preserve"> в электронной форме</w:t>
      </w:r>
      <w:r w:rsidR="00364EBF">
        <w:rPr>
          <w:b/>
          <w:bCs/>
        </w:rPr>
        <w:t xml:space="preserve">, участниками которого вправе быть исключительно субъекты малого </w:t>
      </w:r>
      <w:r w:rsidR="00B556FA">
        <w:rPr>
          <w:b/>
          <w:bCs/>
        </w:rPr>
        <w:t xml:space="preserve">и среднего </w:t>
      </w:r>
      <w:proofErr w:type="gramStart"/>
      <w:r w:rsidR="00B556FA">
        <w:rPr>
          <w:b/>
          <w:bCs/>
        </w:rPr>
        <w:t xml:space="preserve">предпринимательства </w:t>
      </w:r>
      <w:r w:rsidR="00364EBF">
        <w:rPr>
          <w:b/>
          <w:bCs/>
        </w:rPr>
        <w:t xml:space="preserve"> </w:t>
      </w:r>
      <w:r w:rsidR="00B556FA" w:rsidRPr="00B556FA">
        <w:rPr>
          <w:b/>
          <w:bCs/>
        </w:rPr>
        <w:t>№</w:t>
      </w:r>
      <w:proofErr w:type="gramEnd"/>
      <w:r w:rsidR="00B556FA" w:rsidRPr="00B556FA">
        <w:rPr>
          <w:b/>
          <w:bCs/>
        </w:rPr>
        <w:t xml:space="preserve"> 89/ОАЭ-ПКС/Т на право заключения договора поставки системного блока.</w:t>
      </w:r>
    </w:p>
    <w:p w:rsidR="005B4409" w:rsidRDefault="005B4409" w:rsidP="00343AAF">
      <w:pPr>
        <w:ind w:firstLine="709"/>
        <w:jc w:val="center"/>
        <w:rPr>
          <w:b/>
          <w:bCs/>
        </w:rPr>
      </w:pPr>
    </w:p>
    <w:p w:rsidR="005B4409" w:rsidRPr="00733CDD" w:rsidRDefault="005B4409" w:rsidP="005B4409">
      <w:pPr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733CDD">
        <w:rPr>
          <w:b/>
          <w:i/>
          <w:color w:val="000000"/>
        </w:rPr>
        <w:t>Изменения в извещение:</w:t>
      </w:r>
    </w:p>
    <w:p w:rsidR="005B4409" w:rsidRPr="005B4409" w:rsidRDefault="005B4409" w:rsidP="005B4409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5B4409" w:rsidRPr="005B4409" w:rsidRDefault="005B4409" w:rsidP="00753A7B">
      <w:pPr>
        <w:spacing w:line="0" w:lineRule="atLeast"/>
        <w:jc w:val="both"/>
        <w:rPr>
          <w:b/>
          <w:i/>
        </w:rPr>
      </w:pPr>
      <w:bookmarkStart w:id="0" w:name="_Hlk2258305"/>
      <w:r w:rsidRPr="005B4409">
        <w:rPr>
          <w:b/>
          <w:i/>
          <w:color w:val="000000"/>
        </w:rPr>
        <w:t>Позиции №</w:t>
      </w:r>
      <w:r w:rsidRPr="005B4409">
        <w:rPr>
          <w:b/>
          <w:i/>
        </w:rPr>
        <w:t xml:space="preserve"> 11 и № 12 изложить в следующей редакции: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1110"/>
        <w:gridCol w:w="2295"/>
        <w:gridCol w:w="6660"/>
      </w:tblGrid>
      <w:tr w:rsidR="00B556FA" w:rsidRPr="00364EBF" w:rsidTr="0011774D">
        <w:trPr>
          <w:trHeight w:val="852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FA" w:rsidRPr="00364EBF" w:rsidRDefault="00B556FA" w:rsidP="00B556FA">
            <w:pPr>
              <w:jc w:val="center"/>
              <w:rPr>
                <w:bCs/>
              </w:rPr>
            </w:pPr>
            <w:bookmarkStart w:id="1" w:name="_Hlk2258334"/>
            <w:bookmarkEnd w:id="0"/>
            <w:r w:rsidRPr="00364EBF">
              <w:rPr>
                <w:bCs/>
              </w:rPr>
              <w:t>11.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FA" w:rsidRPr="00364EBF" w:rsidRDefault="00B556FA" w:rsidP="00B556FA">
            <w:pPr>
              <w:jc w:val="center"/>
              <w:rPr>
                <w:bCs/>
              </w:rPr>
            </w:pPr>
            <w:r w:rsidRPr="00364EBF">
              <w:rPr>
                <w:bCs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FA" w:rsidRPr="00C801F3" w:rsidRDefault="00B556FA" w:rsidP="00B556FA">
            <w:pPr>
              <w:jc w:val="both"/>
              <w:rPr>
                <w:b/>
                <w:bCs/>
              </w:rPr>
            </w:pPr>
            <w:r w:rsidRPr="00C801F3">
              <w:t>Дата начала подачи заявок - с момента опубликования извещения</w:t>
            </w:r>
            <w:r w:rsidRPr="00C801F3">
              <w:rPr>
                <w:bCs/>
              </w:rPr>
              <w:t xml:space="preserve"> и документации </w:t>
            </w:r>
            <w:r w:rsidRPr="00C801F3">
              <w:t>на сайтах</w:t>
            </w:r>
            <w:r w:rsidRPr="00C801F3">
              <w:rPr>
                <w:b/>
                <w:bCs/>
              </w:rPr>
              <w:t xml:space="preserve"> </w:t>
            </w:r>
            <w:r w:rsidRPr="00C801F3">
              <w:rPr>
                <w:b/>
                <w:bCs/>
                <w:i/>
              </w:rPr>
              <w:t xml:space="preserve">– </w:t>
            </w:r>
            <w:r w:rsidRPr="00C801F3">
              <w:rPr>
                <w:b/>
                <w:bCs/>
              </w:rPr>
              <w:t>«24» мая 2022 года</w:t>
            </w:r>
            <w:r w:rsidRPr="00C801F3">
              <w:rPr>
                <w:b/>
                <w:bCs/>
                <w:i/>
              </w:rPr>
              <w:t>.</w:t>
            </w:r>
          </w:p>
          <w:p w:rsidR="00B556FA" w:rsidRPr="00C801F3" w:rsidRDefault="00B556FA" w:rsidP="00B556FA">
            <w:pPr>
              <w:jc w:val="both"/>
              <w:rPr>
                <w:b/>
                <w:bCs/>
              </w:rPr>
            </w:pPr>
            <w:r w:rsidRPr="00C801F3">
              <w:t>Дата окончания срока подачи заявок –</w:t>
            </w:r>
            <w:r w:rsidRPr="00C801F3">
              <w:rPr>
                <w:b/>
                <w:bCs/>
              </w:rPr>
              <w:t xml:space="preserve"> </w:t>
            </w:r>
          </w:p>
          <w:p w:rsidR="00B556FA" w:rsidRPr="00C801F3" w:rsidRDefault="00B556FA" w:rsidP="00B556FA">
            <w:pPr>
              <w:jc w:val="both"/>
              <w:rPr>
                <w:bCs/>
                <w:i/>
              </w:rPr>
            </w:pPr>
            <w:r w:rsidRPr="00C801F3">
              <w:rPr>
                <w:b/>
                <w:bCs/>
              </w:rPr>
              <w:t>«16» июня 2022 года</w:t>
            </w:r>
            <w:r w:rsidRPr="00C801F3">
              <w:rPr>
                <w:b/>
                <w:bCs/>
                <w:i/>
              </w:rPr>
              <w:t xml:space="preserve"> </w:t>
            </w:r>
            <w:r w:rsidRPr="00C801F3">
              <w:rPr>
                <w:bCs/>
              </w:rPr>
              <w:t xml:space="preserve">в </w:t>
            </w:r>
            <w:r w:rsidRPr="00C801F3">
              <w:rPr>
                <w:b/>
                <w:bCs/>
              </w:rPr>
              <w:t>02:00</w:t>
            </w:r>
            <w:r w:rsidRPr="00C801F3">
              <w:rPr>
                <w:bCs/>
              </w:rPr>
              <w:t xml:space="preserve"> ч. московского времени. </w:t>
            </w:r>
          </w:p>
          <w:p w:rsidR="00B556FA" w:rsidRPr="00C801F3" w:rsidRDefault="00B556FA" w:rsidP="00B556FA">
            <w:pPr>
              <w:jc w:val="both"/>
              <w:rPr>
                <w:bCs/>
              </w:rPr>
            </w:pPr>
            <w:r w:rsidRPr="00C801F3">
              <w:rPr>
                <w:bCs/>
              </w:rPr>
              <w:t xml:space="preserve">Заявки на участие в аукционе </w:t>
            </w:r>
            <w:r w:rsidRPr="00C801F3">
              <w:rPr>
                <w:b/>
                <w:bCs/>
              </w:rPr>
              <w:t>№ 89/ОАЭ-ПКС/Т</w:t>
            </w:r>
            <w:r w:rsidRPr="00C801F3">
              <w:rPr>
                <w:bCs/>
              </w:rPr>
              <w:t xml:space="preserve"> подаются в электронной форме на ЭТЗП (на странице данного открытого аукциона на ЭТЗП).</w:t>
            </w:r>
          </w:p>
        </w:tc>
      </w:tr>
      <w:tr w:rsidR="00B556FA" w:rsidRPr="00364EBF" w:rsidTr="0011774D">
        <w:trPr>
          <w:trHeight w:val="852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FA" w:rsidRPr="00364EBF" w:rsidRDefault="00B556FA" w:rsidP="00B556FA">
            <w:pPr>
              <w:jc w:val="center"/>
              <w:rPr>
                <w:bCs/>
              </w:rPr>
            </w:pPr>
            <w:r w:rsidRPr="00364EBF">
              <w:rPr>
                <w:bCs/>
              </w:rPr>
              <w:t>12.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FA" w:rsidRPr="00364EBF" w:rsidRDefault="00B556FA" w:rsidP="00B556FA">
            <w:pPr>
              <w:jc w:val="center"/>
              <w:rPr>
                <w:bCs/>
              </w:rPr>
            </w:pPr>
            <w:r w:rsidRPr="00364EBF">
              <w:rPr>
                <w:bCs/>
              </w:rPr>
              <w:t>Порядок подведения итогов закупки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FA" w:rsidRPr="00C801F3" w:rsidRDefault="00B556FA" w:rsidP="00B556FA">
            <w:pPr>
              <w:jc w:val="both"/>
              <w:rPr>
                <w:bCs/>
              </w:rPr>
            </w:pPr>
            <w:r w:rsidRPr="00C801F3">
              <w:rPr>
                <w:bCs/>
              </w:rPr>
              <w:t xml:space="preserve">Рассмотрение первых частей заявок осуществляется </w:t>
            </w:r>
            <w:r w:rsidRPr="00C801F3">
              <w:rPr>
                <w:b/>
                <w:bCs/>
              </w:rPr>
              <w:t>«20» июня 2022 г.</w:t>
            </w:r>
          </w:p>
          <w:p w:rsidR="00B556FA" w:rsidRPr="00C801F3" w:rsidRDefault="00B556FA" w:rsidP="00B556FA">
            <w:pPr>
              <w:jc w:val="both"/>
              <w:rPr>
                <w:bCs/>
              </w:rPr>
            </w:pPr>
            <w:r w:rsidRPr="00C801F3">
              <w:rPr>
                <w:bCs/>
              </w:rPr>
              <w:t xml:space="preserve">Дата и время начала аукциона </w:t>
            </w:r>
            <w:r w:rsidRPr="00C801F3">
              <w:rPr>
                <w:b/>
                <w:bCs/>
              </w:rPr>
              <w:t>«22» июня 2022 г.</w:t>
            </w:r>
            <w:r w:rsidRPr="00C801F3">
              <w:rPr>
                <w:bCs/>
              </w:rPr>
              <w:t xml:space="preserve"> в </w:t>
            </w:r>
            <w:r w:rsidRPr="00C801F3">
              <w:rPr>
                <w:b/>
                <w:bCs/>
              </w:rPr>
              <w:t>09:00</w:t>
            </w:r>
            <w:r w:rsidRPr="00C801F3">
              <w:rPr>
                <w:bCs/>
              </w:rPr>
              <w:t xml:space="preserve"> ч. московского времени.</w:t>
            </w:r>
          </w:p>
          <w:p w:rsidR="00B556FA" w:rsidRPr="00C801F3" w:rsidRDefault="00B556FA" w:rsidP="00B556FA">
            <w:pPr>
              <w:jc w:val="both"/>
              <w:rPr>
                <w:bCs/>
              </w:rPr>
            </w:pPr>
            <w:r w:rsidRPr="00C801F3">
              <w:rPr>
                <w:bCs/>
              </w:rPr>
              <w:t xml:space="preserve">Рассмотрение вторых частей заявок осуществляется </w:t>
            </w:r>
            <w:r w:rsidRPr="00C801F3">
              <w:rPr>
                <w:b/>
                <w:bCs/>
              </w:rPr>
              <w:t>«24» июня 2022 г.</w:t>
            </w:r>
          </w:p>
          <w:p w:rsidR="00B556FA" w:rsidRPr="00C801F3" w:rsidRDefault="00B556FA" w:rsidP="00B556FA">
            <w:pPr>
              <w:jc w:val="both"/>
              <w:rPr>
                <w:bCs/>
              </w:rPr>
            </w:pPr>
            <w:r w:rsidRPr="00C801F3">
              <w:rPr>
                <w:bCs/>
              </w:rPr>
              <w:t xml:space="preserve">Подведение итогов закупки осуществляется </w:t>
            </w:r>
            <w:r w:rsidRPr="00C801F3">
              <w:rPr>
                <w:bCs/>
              </w:rPr>
              <w:br/>
            </w:r>
            <w:r w:rsidRPr="00C801F3">
              <w:rPr>
                <w:b/>
                <w:bCs/>
              </w:rPr>
              <w:t>«24» июня 2022 г.</w:t>
            </w:r>
          </w:p>
          <w:p w:rsidR="00B556FA" w:rsidRPr="00C801F3" w:rsidRDefault="00B556FA" w:rsidP="00B556FA">
            <w:pPr>
              <w:jc w:val="both"/>
              <w:rPr>
                <w:bCs/>
              </w:rPr>
            </w:pPr>
            <w:r w:rsidRPr="00C801F3">
              <w:rPr>
                <w:bCs/>
              </w:rPr>
              <w:t>Порядок рассмотрения первых и вторых частей заявок, предоставления предложений о цене договора, сопоставления ценовых предложений, выбора победителя закупки (участника, с которым заключается договор) осуществляется в порядке, указанном в части 3 документации о закупке.</w:t>
            </w:r>
          </w:p>
        </w:tc>
      </w:tr>
      <w:bookmarkEnd w:id="1"/>
    </w:tbl>
    <w:p w:rsidR="005B4409" w:rsidRPr="005B4409" w:rsidRDefault="005B4409" w:rsidP="00343AAF">
      <w:pPr>
        <w:ind w:firstLine="709"/>
        <w:jc w:val="center"/>
        <w:rPr>
          <w:b/>
          <w:bCs/>
        </w:rPr>
      </w:pPr>
    </w:p>
    <w:p w:rsidR="00770A97" w:rsidRDefault="005B4409" w:rsidP="00770A97">
      <w:pPr>
        <w:jc w:val="both"/>
        <w:rPr>
          <w:b/>
          <w:i/>
        </w:rPr>
      </w:pPr>
      <w:r w:rsidRPr="00733CDD">
        <w:rPr>
          <w:b/>
          <w:i/>
        </w:rPr>
        <w:t>2</w:t>
      </w:r>
      <w:r w:rsidR="00343AAF" w:rsidRPr="00733CDD">
        <w:rPr>
          <w:b/>
          <w:i/>
        </w:rPr>
        <w:t xml:space="preserve">. </w:t>
      </w:r>
      <w:r w:rsidR="00343AAF" w:rsidRPr="00733CDD">
        <w:rPr>
          <w:b/>
          <w:bCs/>
          <w:i/>
        </w:rPr>
        <w:t>Изменения в</w:t>
      </w:r>
      <w:r w:rsidR="00343AAF" w:rsidRPr="00733CDD">
        <w:rPr>
          <w:b/>
          <w:i/>
        </w:rPr>
        <w:t xml:space="preserve"> аукционную документацию:</w:t>
      </w:r>
    </w:p>
    <w:p w:rsidR="00733CDD" w:rsidRPr="00733CDD" w:rsidRDefault="00733CDD" w:rsidP="00770A97">
      <w:pPr>
        <w:jc w:val="both"/>
        <w:rPr>
          <w:b/>
          <w:i/>
        </w:rPr>
      </w:pPr>
    </w:p>
    <w:p w:rsidR="00733CDD" w:rsidRDefault="00733CDD" w:rsidP="00770A97">
      <w:pPr>
        <w:jc w:val="both"/>
        <w:rPr>
          <w:bCs/>
          <w:iCs/>
        </w:rPr>
      </w:pPr>
      <w:r w:rsidRPr="00733CDD">
        <w:rPr>
          <w:b/>
        </w:rPr>
        <w:t xml:space="preserve">Пункты 2.2, 2.3, 2.4 Части 2. </w:t>
      </w:r>
      <w:r w:rsidRPr="00733CDD">
        <w:rPr>
          <w:b/>
          <w:bCs/>
          <w:iCs/>
        </w:rPr>
        <w:t>Сроки проведения закупки, контактные данные изложить в следующей редакции</w:t>
      </w:r>
      <w:r>
        <w:rPr>
          <w:bCs/>
          <w:iCs/>
        </w:rPr>
        <w:t>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2354"/>
        <w:gridCol w:w="6662"/>
      </w:tblGrid>
      <w:tr w:rsidR="00B556FA" w:rsidRPr="00364EBF" w:rsidTr="00364EBF">
        <w:tc>
          <w:tcPr>
            <w:tcW w:w="1049" w:type="dxa"/>
          </w:tcPr>
          <w:p w:rsidR="00B556FA" w:rsidRPr="00364EBF" w:rsidRDefault="00B556FA" w:rsidP="00B556FA">
            <w:r w:rsidRPr="00364EBF">
              <w:t>2.2</w:t>
            </w:r>
          </w:p>
        </w:tc>
        <w:tc>
          <w:tcPr>
            <w:tcW w:w="2354" w:type="dxa"/>
          </w:tcPr>
          <w:p w:rsidR="00B556FA" w:rsidRPr="00364EBF" w:rsidRDefault="00B556FA" w:rsidP="00B556FA">
            <w:r w:rsidRPr="00364EBF">
              <w:t>Порядок, место, дата начала и окончания срока подачи заявок</w:t>
            </w:r>
          </w:p>
        </w:tc>
        <w:tc>
          <w:tcPr>
            <w:tcW w:w="6662" w:type="dxa"/>
          </w:tcPr>
          <w:p w:rsidR="00B556FA" w:rsidRPr="00C801F3" w:rsidRDefault="00B556FA" w:rsidP="00B556FA">
            <w:pPr>
              <w:ind w:firstLine="63"/>
              <w:jc w:val="both"/>
              <w:rPr>
                <w:bCs/>
                <w:i/>
              </w:rPr>
            </w:pPr>
            <w:r w:rsidRPr="00C801F3">
              <w:rPr>
                <w:bCs/>
              </w:rPr>
              <w:t xml:space="preserve">Заявки (части заявок) подаются в порядке, указанном в пункте 3.14 аукционной документации, на электронной площадке «РТС-тендер» (на странице данного аукциона на </w:t>
            </w:r>
            <w:proofErr w:type="gramStart"/>
            <w:r w:rsidRPr="00C801F3">
              <w:rPr>
                <w:bCs/>
              </w:rPr>
              <w:t xml:space="preserve">сайте </w:t>
            </w:r>
            <w:r w:rsidRPr="00C801F3">
              <w:t xml:space="preserve"> </w:t>
            </w:r>
            <w:r w:rsidRPr="00C801F3">
              <w:rPr>
                <w:bCs/>
              </w:rPr>
              <w:t>https://www.rts-tender.ru</w:t>
            </w:r>
            <w:proofErr w:type="gramEnd"/>
            <w:r w:rsidRPr="00C801F3">
              <w:rPr>
                <w:bCs/>
              </w:rPr>
              <w:t xml:space="preserve">) (далее – электронная площадка, ЭТЗП, сайт ЭТЗП). </w:t>
            </w:r>
          </w:p>
          <w:p w:rsidR="00B556FA" w:rsidRPr="00C801F3" w:rsidRDefault="00B556FA" w:rsidP="00B556FA">
            <w:pPr>
              <w:ind w:firstLine="63"/>
              <w:jc w:val="both"/>
              <w:rPr>
                <w:bCs/>
                <w:i/>
              </w:rPr>
            </w:pPr>
            <w:r w:rsidRPr="00C801F3">
              <w:rPr>
                <w:bCs/>
              </w:rPr>
              <w:t>Дата начала подачи заявок – с момента опубликования извещения и аукционной документации в Единой информационной системе в сфере закупок (</w:t>
            </w:r>
            <w:r w:rsidRPr="00C801F3">
              <w:t>далее – единая информационная система, ЕИС</w:t>
            </w:r>
            <w:r w:rsidRPr="00C801F3">
              <w:rPr>
                <w:bCs/>
              </w:rPr>
              <w:t>), на сайте</w:t>
            </w:r>
            <w:r w:rsidRPr="00C801F3">
              <w:t xml:space="preserve"> </w:t>
            </w:r>
            <w:r w:rsidRPr="00C801F3">
              <w:rPr>
                <w:bCs/>
              </w:rPr>
              <w:t>Заказчика</w:t>
            </w:r>
            <w:r w:rsidRPr="00C801F3">
              <w:rPr>
                <w:bCs/>
                <w:i/>
              </w:rPr>
              <w:t xml:space="preserve"> </w:t>
            </w:r>
            <w:hyperlink r:id="rId5" w:history="1">
              <w:r w:rsidRPr="00C801F3">
                <w:rPr>
                  <w:bCs/>
                  <w:color w:val="0000FF"/>
                  <w:u w:val="single"/>
                  <w:lang w:val="en-US"/>
                </w:rPr>
                <w:t>www</w:t>
              </w:r>
              <w:r w:rsidRPr="00C801F3">
                <w:rPr>
                  <w:bCs/>
                  <w:color w:val="0000FF"/>
                  <w:u w:val="single"/>
                </w:rPr>
                <w:t>.</w:t>
              </w:r>
              <w:proofErr w:type="spellStart"/>
              <w:r w:rsidRPr="00C801F3">
                <w:rPr>
                  <w:bCs/>
                  <w:color w:val="0000FF"/>
                  <w:u w:val="single"/>
                  <w:lang w:val="en-US"/>
                </w:rPr>
                <w:t>pk</w:t>
              </w:r>
              <w:proofErr w:type="spellEnd"/>
              <w:r w:rsidRPr="00C801F3">
                <w:rPr>
                  <w:bCs/>
                  <w:color w:val="0000FF"/>
                  <w:u w:val="single"/>
                </w:rPr>
                <w:t>-</w:t>
              </w:r>
              <w:proofErr w:type="spellStart"/>
              <w:r w:rsidRPr="00C801F3">
                <w:rPr>
                  <w:bCs/>
                  <w:color w:val="0000FF"/>
                  <w:u w:val="single"/>
                  <w:lang w:val="en-US"/>
                </w:rPr>
                <w:t>sakhalin</w:t>
              </w:r>
              <w:proofErr w:type="spellEnd"/>
              <w:r w:rsidRPr="00C801F3">
                <w:rPr>
                  <w:bCs/>
                  <w:color w:val="0000FF"/>
                  <w:u w:val="single"/>
                </w:rPr>
                <w:t>.</w:t>
              </w:r>
              <w:proofErr w:type="spellStart"/>
              <w:r w:rsidRPr="00C801F3">
                <w:rPr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C801F3">
              <w:rPr>
                <w:bCs/>
              </w:rPr>
              <w:t xml:space="preserve"> (раздел «Сотрудничество»), (далее – сайты)</w:t>
            </w:r>
            <w:r w:rsidRPr="00C801F3">
              <w:rPr>
                <w:bCs/>
                <w:i/>
              </w:rPr>
              <w:t xml:space="preserve"> </w:t>
            </w:r>
            <w:r w:rsidRPr="00C801F3">
              <w:rPr>
                <w:b/>
                <w:iCs/>
              </w:rPr>
              <w:t>«24» мая</w:t>
            </w:r>
            <w:r w:rsidRPr="00C801F3">
              <w:rPr>
                <w:b/>
                <w:bCs/>
              </w:rPr>
              <w:t xml:space="preserve"> 2022 года</w:t>
            </w:r>
            <w:r w:rsidRPr="00C801F3">
              <w:rPr>
                <w:bCs/>
                <w:i/>
              </w:rPr>
              <w:t>.</w:t>
            </w:r>
          </w:p>
          <w:p w:rsidR="00B556FA" w:rsidRPr="00C801F3" w:rsidRDefault="00B556FA" w:rsidP="00B556FA">
            <w:pPr>
              <w:ind w:firstLine="63"/>
              <w:jc w:val="both"/>
            </w:pPr>
            <w:r w:rsidRPr="00C801F3">
              <w:rPr>
                <w:bCs/>
              </w:rPr>
              <w:t xml:space="preserve">Дата окончания срока подачи аукционных заявок – </w:t>
            </w:r>
            <w:r w:rsidRPr="00C801F3">
              <w:rPr>
                <w:b/>
              </w:rPr>
              <w:t>02:00</w:t>
            </w:r>
            <w:r w:rsidRPr="00C801F3">
              <w:t xml:space="preserve"> часов московского времени </w:t>
            </w:r>
            <w:r w:rsidRPr="00C801F3">
              <w:rPr>
                <w:b/>
              </w:rPr>
              <w:t>«16</w:t>
            </w:r>
            <w:r w:rsidRPr="00C801F3">
              <w:rPr>
                <w:b/>
                <w:bCs/>
              </w:rPr>
              <w:t>» июня 2022 года.</w:t>
            </w:r>
          </w:p>
        </w:tc>
      </w:tr>
      <w:tr w:rsidR="00B556FA" w:rsidRPr="00364EBF" w:rsidTr="00364EBF">
        <w:tc>
          <w:tcPr>
            <w:tcW w:w="1049" w:type="dxa"/>
          </w:tcPr>
          <w:p w:rsidR="00B556FA" w:rsidRPr="00364EBF" w:rsidRDefault="00B556FA" w:rsidP="00B556FA">
            <w:r w:rsidRPr="00364EBF">
              <w:t>2.3</w:t>
            </w:r>
          </w:p>
        </w:tc>
        <w:tc>
          <w:tcPr>
            <w:tcW w:w="2354" w:type="dxa"/>
          </w:tcPr>
          <w:p w:rsidR="00B556FA" w:rsidRPr="00364EBF" w:rsidRDefault="00B556FA" w:rsidP="00B556FA">
            <w:r w:rsidRPr="00364EBF">
              <w:t xml:space="preserve">Дата рассмотрения заявок участников аукциона, проведения аукциона </w:t>
            </w:r>
          </w:p>
        </w:tc>
        <w:tc>
          <w:tcPr>
            <w:tcW w:w="6662" w:type="dxa"/>
          </w:tcPr>
          <w:p w:rsidR="00B556FA" w:rsidRPr="00C801F3" w:rsidRDefault="00B556FA" w:rsidP="00B556FA">
            <w:pPr>
              <w:ind w:firstLine="63"/>
              <w:jc w:val="both"/>
              <w:rPr>
                <w:b/>
                <w:bCs/>
              </w:rPr>
            </w:pPr>
            <w:r w:rsidRPr="00C801F3">
              <w:rPr>
                <w:bCs/>
              </w:rPr>
              <w:t xml:space="preserve">Рассмотрение первых частей аукционных заявок осуществляется </w:t>
            </w:r>
            <w:r w:rsidRPr="00C801F3">
              <w:rPr>
                <w:b/>
                <w:bCs/>
              </w:rPr>
              <w:t>«20» июня 2022 года.</w:t>
            </w:r>
          </w:p>
          <w:p w:rsidR="00B556FA" w:rsidRPr="00C801F3" w:rsidRDefault="00B556FA" w:rsidP="00B556FA">
            <w:pPr>
              <w:ind w:firstLine="63"/>
              <w:jc w:val="both"/>
              <w:rPr>
                <w:bCs/>
              </w:rPr>
            </w:pPr>
            <w:r w:rsidRPr="00C801F3">
              <w:rPr>
                <w:bCs/>
              </w:rPr>
              <w:t xml:space="preserve">Дата и время начала аукциона (дата сопоставления ценовых предложений) </w:t>
            </w:r>
            <w:r w:rsidRPr="00C801F3">
              <w:rPr>
                <w:b/>
              </w:rPr>
              <w:t>09:00</w:t>
            </w:r>
            <w:r w:rsidRPr="00C801F3">
              <w:t xml:space="preserve"> часов московского времени </w:t>
            </w:r>
            <w:r w:rsidRPr="00C801F3">
              <w:rPr>
                <w:b/>
                <w:bCs/>
              </w:rPr>
              <w:t>«22» июня 2022 года.</w:t>
            </w:r>
          </w:p>
          <w:p w:rsidR="00B556FA" w:rsidRPr="00C801F3" w:rsidRDefault="00B556FA" w:rsidP="00B556FA">
            <w:pPr>
              <w:ind w:firstLine="63"/>
              <w:jc w:val="both"/>
              <w:rPr>
                <w:bCs/>
                <w:i/>
              </w:rPr>
            </w:pPr>
            <w:r w:rsidRPr="00C801F3">
              <w:rPr>
                <w:bCs/>
              </w:rPr>
              <w:lastRenderedPageBreak/>
              <w:t xml:space="preserve">Дата начала рассмотрения вторых частей заявок </w:t>
            </w:r>
            <w:r w:rsidRPr="00C801F3">
              <w:rPr>
                <w:b/>
                <w:bCs/>
              </w:rPr>
              <w:t>«24» июня 2022 года.</w:t>
            </w:r>
          </w:p>
          <w:p w:rsidR="00B556FA" w:rsidRPr="00C801F3" w:rsidRDefault="00B556FA" w:rsidP="00B556FA">
            <w:pPr>
              <w:ind w:firstLine="63"/>
              <w:jc w:val="both"/>
              <w:rPr>
                <w:bCs/>
                <w:i/>
              </w:rPr>
            </w:pPr>
            <w:r w:rsidRPr="00C801F3">
              <w:rPr>
                <w:bCs/>
              </w:rPr>
              <w:t>Подведение итогов аукциона осуществляется</w:t>
            </w:r>
            <w:r w:rsidRPr="00C801F3">
              <w:rPr>
                <w:bCs/>
                <w:i/>
              </w:rPr>
              <w:t xml:space="preserve"> </w:t>
            </w:r>
            <w:r w:rsidRPr="00C801F3">
              <w:rPr>
                <w:b/>
                <w:bCs/>
                <w:iCs/>
              </w:rPr>
              <w:t>«24» июня 2022 года.</w:t>
            </w:r>
          </w:p>
        </w:tc>
      </w:tr>
      <w:tr w:rsidR="00B556FA" w:rsidRPr="00364EBF" w:rsidTr="00364EBF">
        <w:tc>
          <w:tcPr>
            <w:tcW w:w="1049" w:type="dxa"/>
          </w:tcPr>
          <w:p w:rsidR="00B556FA" w:rsidRPr="00364EBF" w:rsidRDefault="00B556FA" w:rsidP="00B556FA">
            <w:r w:rsidRPr="00364EBF">
              <w:lastRenderedPageBreak/>
              <w:t>2.4</w:t>
            </w:r>
          </w:p>
        </w:tc>
        <w:tc>
          <w:tcPr>
            <w:tcW w:w="2354" w:type="dxa"/>
          </w:tcPr>
          <w:p w:rsidR="00B556FA" w:rsidRPr="00364EBF" w:rsidRDefault="00B556FA" w:rsidP="00B556FA">
            <w:pPr>
              <w:jc w:val="both"/>
              <w:rPr>
                <w:bCs/>
              </w:rPr>
            </w:pPr>
            <w:r w:rsidRPr="00364EBF">
              <w:rPr>
                <w:bCs/>
              </w:rPr>
              <w:t xml:space="preserve">Порядок направления запросов на разъяснение положений </w:t>
            </w:r>
            <w:r w:rsidRPr="00364EBF">
              <w:t>аукционной</w:t>
            </w:r>
            <w:r w:rsidRPr="00364EBF">
              <w:rPr>
                <w:bCs/>
              </w:rPr>
              <w:t xml:space="preserve"> документации и предоставления разъяснений положений </w:t>
            </w:r>
            <w:r w:rsidRPr="00364EBF">
              <w:t>аукционной</w:t>
            </w:r>
            <w:r w:rsidRPr="00364EBF">
              <w:rPr>
                <w:bCs/>
              </w:rPr>
              <w:t xml:space="preserve"> документации</w:t>
            </w:r>
          </w:p>
          <w:p w:rsidR="00B556FA" w:rsidRPr="00364EBF" w:rsidRDefault="00B556FA" w:rsidP="00B556FA"/>
        </w:tc>
        <w:tc>
          <w:tcPr>
            <w:tcW w:w="6662" w:type="dxa"/>
          </w:tcPr>
          <w:p w:rsidR="00B556FA" w:rsidRPr="00C801F3" w:rsidRDefault="00B556FA" w:rsidP="00B556FA">
            <w:pPr>
              <w:ind w:firstLine="63"/>
              <w:jc w:val="both"/>
              <w:rPr>
                <w:bCs/>
              </w:rPr>
            </w:pPr>
            <w:r w:rsidRPr="00C801F3">
              <w:rPr>
                <w:bCs/>
              </w:rPr>
              <w:t>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3.5 аукционной документации.</w:t>
            </w:r>
          </w:p>
          <w:p w:rsidR="00B556FA" w:rsidRPr="00C801F3" w:rsidRDefault="00B556FA" w:rsidP="00B556FA">
            <w:pPr>
              <w:ind w:firstLine="63"/>
              <w:jc w:val="both"/>
              <w:rPr>
                <w:bCs/>
              </w:rPr>
            </w:pPr>
            <w:r w:rsidRPr="00C801F3">
              <w:rPr>
                <w:bCs/>
              </w:rPr>
              <w:t>Срок направления участниками запросов на разъяснение положений аукционной документации: с «24» мая 2022 г. по 9:00 часов московского времени «09» июня 2022 г. (включительно).</w:t>
            </w:r>
          </w:p>
          <w:p w:rsidR="00B556FA" w:rsidRPr="00C801F3" w:rsidRDefault="00B556FA" w:rsidP="00B556FA">
            <w:pPr>
              <w:ind w:firstLine="63"/>
              <w:jc w:val="both"/>
              <w:rPr>
                <w:bCs/>
              </w:rPr>
            </w:pPr>
            <w:r w:rsidRPr="00C801F3">
              <w:rPr>
                <w:bCs/>
              </w:rPr>
              <w:t>Дата начала срока предоставления участникам разъяснений положений аукционной документации: «24» мая 2022 г.</w:t>
            </w:r>
          </w:p>
          <w:p w:rsidR="00B556FA" w:rsidRPr="00C801F3" w:rsidRDefault="00B556FA" w:rsidP="00B556FA">
            <w:pPr>
              <w:ind w:firstLine="63"/>
              <w:jc w:val="both"/>
            </w:pPr>
            <w:r w:rsidRPr="00C801F3">
              <w:rPr>
                <w:bCs/>
              </w:rPr>
              <w:t>Дата окончания срока предоставления участникам разъяснений положений аукционной документации: 9:00 часов московского времени «15» июня 2022 г.</w:t>
            </w:r>
          </w:p>
        </w:tc>
      </w:tr>
    </w:tbl>
    <w:p w:rsidR="00733CDD" w:rsidRPr="00733CDD" w:rsidRDefault="00733CDD" w:rsidP="00770A97">
      <w:pPr>
        <w:jc w:val="both"/>
        <w:rPr>
          <w:i/>
        </w:rPr>
      </w:pPr>
    </w:p>
    <w:p w:rsidR="00343AAF" w:rsidRPr="00770A97" w:rsidRDefault="00222454" w:rsidP="00770A97">
      <w:pPr>
        <w:jc w:val="both"/>
        <w:rPr>
          <w:b/>
          <w:i/>
        </w:rPr>
      </w:pPr>
      <w:r>
        <w:rPr>
          <w:b/>
        </w:rPr>
        <w:t>Подпункт «</w:t>
      </w:r>
      <w:r w:rsidR="00407679">
        <w:rPr>
          <w:b/>
        </w:rPr>
        <w:t>Системный блок»</w:t>
      </w:r>
      <w:r>
        <w:rPr>
          <w:b/>
        </w:rPr>
        <w:t xml:space="preserve"> пункта «Технические и функциональные характеристики товара» раздела 2 Требования к товарам Технического задания - </w:t>
      </w:r>
      <w:r w:rsidR="00156B4D">
        <w:rPr>
          <w:b/>
        </w:rPr>
        <w:t>Приложение № 1.1 к аукционной документации</w:t>
      </w:r>
      <w:r w:rsidR="00A97305">
        <w:rPr>
          <w:b/>
        </w:rPr>
        <w:t xml:space="preserve"> и </w:t>
      </w:r>
      <w:r w:rsidR="00A516AB">
        <w:rPr>
          <w:b/>
        </w:rPr>
        <w:t>Техническ</w:t>
      </w:r>
      <w:r>
        <w:rPr>
          <w:b/>
        </w:rPr>
        <w:t>ого задания - П</w:t>
      </w:r>
      <w:r w:rsidR="00A516AB">
        <w:rPr>
          <w:b/>
        </w:rPr>
        <w:t>риложени</w:t>
      </w:r>
      <w:r>
        <w:rPr>
          <w:b/>
        </w:rPr>
        <w:t>я</w:t>
      </w:r>
      <w:r w:rsidR="00A516AB">
        <w:rPr>
          <w:b/>
        </w:rPr>
        <w:t xml:space="preserve"> № 1 </w:t>
      </w:r>
      <w:r w:rsidR="00A427EC">
        <w:rPr>
          <w:b/>
        </w:rPr>
        <w:t>к Проекту договора поставки (Приложение № 1.2 к аукционной документации)</w:t>
      </w:r>
      <w:r w:rsidR="00343AAF" w:rsidRPr="00770A97">
        <w:rPr>
          <w:b/>
        </w:rPr>
        <w:t xml:space="preserve"> изложить в следующей редакции:</w:t>
      </w:r>
    </w:p>
    <w:p w:rsidR="00770A97" w:rsidRDefault="00770A97" w:rsidP="00770A97">
      <w:pPr>
        <w:ind w:firstLine="720"/>
        <w:jc w:val="both"/>
        <w:rPr>
          <w:rFonts w:eastAsia="Calibri"/>
        </w:rPr>
      </w:pPr>
    </w:p>
    <w:p w:rsidR="007D7961" w:rsidRDefault="007D7961" w:rsidP="007D7961">
      <w:pPr>
        <w:tabs>
          <w:tab w:val="right" w:pos="8158"/>
        </w:tabs>
        <w:rPr>
          <w:b/>
        </w:rPr>
      </w:pPr>
      <w:r>
        <w:rPr>
          <w:b/>
          <w:u w:val="single"/>
        </w:rPr>
        <w:t xml:space="preserve">Системный блок </w:t>
      </w:r>
      <w:r>
        <w:rPr>
          <w:b/>
        </w:rPr>
        <w:t>– 9 шт.:</w:t>
      </w:r>
    </w:p>
    <w:p w:rsidR="007D7961" w:rsidRDefault="007D7961" w:rsidP="007D7961">
      <w:pPr>
        <w:tabs>
          <w:tab w:val="right" w:pos="8158"/>
        </w:tabs>
        <w:rPr>
          <w:b/>
        </w:rPr>
      </w:pPr>
    </w:p>
    <w:p w:rsidR="007D7961" w:rsidRPr="007C087B" w:rsidRDefault="007D7961" w:rsidP="007D7961">
      <w:pPr>
        <w:tabs>
          <w:tab w:val="right" w:pos="8158"/>
        </w:tabs>
      </w:pPr>
      <w:r w:rsidRPr="007C087B">
        <w:t xml:space="preserve">Предустановленные: </w:t>
      </w:r>
    </w:p>
    <w:p w:rsidR="007D7961" w:rsidRPr="007C087B" w:rsidRDefault="007D7961" w:rsidP="007D7961">
      <w:pPr>
        <w:tabs>
          <w:tab w:val="right" w:pos="8158"/>
        </w:tabs>
      </w:pPr>
      <w:r w:rsidRPr="007C087B">
        <w:t>Предустановленная Лицензия на право установки и использования операционной системы специального назначения «</w:t>
      </w:r>
      <w:proofErr w:type="spellStart"/>
      <w:r w:rsidRPr="007C087B">
        <w:t>Astra</w:t>
      </w:r>
      <w:proofErr w:type="spellEnd"/>
      <w:r w:rsidRPr="007C087B">
        <w:t xml:space="preserve"> </w:t>
      </w:r>
      <w:proofErr w:type="spellStart"/>
      <w:r w:rsidRPr="007C087B">
        <w:t>Linux</w:t>
      </w:r>
      <w:proofErr w:type="spellEnd"/>
      <w:r w:rsidRPr="007C087B">
        <w:t xml:space="preserve"> </w:t>
      </w:r>
      <w:proofErr w:type="spellStart"/>
      <w:r w:rsidRPr="007C087B">
        <w:t>Special</w:t>
      </w:r>
      <w:proofErr w:type="spellEnd"/>
      <w:r w:rsidRPr="007C087B">
        <w:t xml:space="preserve"> </w:t>
      </w:r>
      <w:proofErr w:type="spellStart"/>
      <w:r w:rsidRPr="007C087B">
        <w:t>Edition</w:t>
      </w:r>
      <w:proofErr w:type="spellEnd"/>
      <w:r w:rsidRPr="007C087B">
        <w:t>» для 64-х разрядной платформы на базе процессорной архитектуры х86-64 (очередное обновление 1.7), уровень защищенности «Базовый» («Орел»), РУСБ.10015-01 (ФСТЭК), способ передачи электронн</w:t>
      </w:r>
      <w:bookmarkStart w:id="2" w:name="_GoBack"/>
      <w:bookmarkEnd w:id="2"/>
      <w:r w:rsidRPr="007C087B">
        <w:t>ый, для рабочей станции, без ограничения срока, с включенной технической поддержкой тип "Стандарт" на 12 мес.</w:t>
      </w:r>
    </w:p>
    <w:p w:rsidR="007D7961" w:rsidRPr="00812609" w:rsidRDefault="007D7961" w:rsidP="007D7961">
      <w:pPr>
        <w:tabs>
          <w:tab w:val="right" w:pos="8158"/>
        </w:tabs>
        <w:rPr>
          <w:lang w:val="en-US"/>
        </w:rPr>
      </w:pPr>
      <w:r w:rsidRPr="007C087B">
        <w:t>ОС</w:t>
      </w:r>
      <w:r w:rsidRPr="007C087B">
        <w:rPr>
          <w:lang w:val="en-US"/>
        </w:rPr>
        <w:t>: Astra Linux (license)</w:t>
      </w:r>
    </w:p>
    <w:p w:rsidR="007D7961" w:rsidRPr="00812609" w:rsidRDefault="007D7961" w:rsidP="007D7961">
      <w:pPr>
        <w:tabs>
          <w:tab w:val="left" w:pos="618"/>
        </w:tabs>
        <w:jc w:val="both"/>
        <w:rPr>
          <w:lang w:val="en-US"/>
        </w:rPr>
      </w:pPr>
      <w:r>
        <w:t>Производитель</w:t>
      </w:r>
      <w:r w:rsidRPr="00812609">
        <w:rPr>
          <w:lang w:val="en-US"/>
        </w:rPr>
        <w:t xml:space="preserve"> </w:t>
      </w:r>
      <w:r>
        <w:rPr>
          <w:lang w:val="en-US"/>
        </w:rPr>
        <w:t>Intel</w:t>
      </w:r>
    </w:p>
    <w:p w:rsidR="007D7961" w:rsidRDefault="007D7961" w:rsidP="007D7961">
      <w:pPr>
        <w:tabs>
          <w:tab w:val="left" w:pos="618"/>
        </w:tabs>
        <w:jc w:val="both"/>
      </w:pPr>
      <w:r>
        <w:t>Тип оборудования - Платформа</w:t>
      </w:r>
    </w:p>
    <w:p w:rsidR="007D7961" w:rsidRDefault="007D7961" w:rsidP="007D7961">
      <w:pPr>
        <w:tabs>
          <w:tab w:val="left" w:pos="618"/>
        </w:tabs>
        <w:jc w:val="both"/>
      </w:pPr>
      <w:r>
        <w:t>Цвета, использованные в оформлении - Черный</w:t>
      </w:r>
    </w:p>
    <w:p w:rsidR="007D7961" w:rsidRDefault="007D7961" w:rsidP="007D7961">
      <w:pPr>
        <w:tabs>
          <w:tab w:val="left" w:pos="618"/>
        </w:tabs>
        <w:jc w:val="both"/>
        <w:rPr>
          <w:u w:val="single"/>
        </w:rPr>
      </w:pPr>
      <w:r>
        <w:rPr>
          <w:u w:val="single"/>
        </w:rPr>
        <w:t>Процессор</w:t>
      </w:r>
    </w:p>
    <w:p w:rsidR="007D7961" w:rsidRDefault="007D7961" w:rsidP="007D7961">
      <w:pPr>
        <w:tabs>
          <w:tab w:val="left" w:pos="618"/>
        </w:tabs>
        <w:jc w:val="both"/>
      </w:pPr>
      <w:r>
        <w:t xml:space="preserve">Гнездо процессора - Предустановленный процессор </w:t>
      </w:r>
      <w:proofErr w:type="spellStart"/>
      <w:r>
        <w:t>Процессор</w:t>
      </w:r>
      <w:proofErr w:type="spellEnd"/>
      <w:r>
        <w:t xml:space="preserve"> – не менее </w:t>
      </w:r>
      <w:proofErr w:type="spellStart"/>
      <w:r>
        <w:t>Intel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i5 10400 (2,9 – 4,3 ГГц, 6 ядер,) Кэш L3 - 12 Мб</w:t>
      </w:r>
    </w:p>
    <w:p w:rsidR="007D7961" w:rsidRDefault="007D7961" w:rsidP="007D7961">
      <w:pPr>
        <w:tabs>
          <w:tab w:val="left" w:pos="618"/>
        </w:tabs>
        <w:jc w:val="both"/>
      </w:pPr>
      <w:r>
        <w:t xml:space="preserve">Количество ядер </w:t>
      </w:r>
      <w:proofErr w:type="gramStart"/>
      <w:r>
        <w:t>–  не</w:t>
      </w:r>
      <w:proofErr w:type="gramEnd"/>
      <w:r>
        <w:t xml:space="preserve"> менее 6. </w:t>
      </w:r>
    </w:p>
    <w:p w:rsidR="007D7961" w:rsidRPr="0075137E" w:rsidRDefault="007D7961" w:rsidP="007D7961">
      <w:pPr>
        <w:tabs>
          <w:tab w:val="left" w:pos="618"/>
        </w:tabs>
        <w:jc w:val="both"/>
        <w:rPr>
          <w:u w:val="single"/>
        </w:rPr>
      </w:pPr>
      <w:r>
        <w:rPr>
          <w:u w:val="single"/>
        </w:rPr>
        <w:t>Видео</w:t>
      </w:r>
    </w:p>
    <w:p w:rsidR="007D7961" w:rsidRPr="0075137E" w:rsidRDefault="007D7961" w:rsidP="007D7961">
      <w:pPr>
        <w:tabs>
          <w:tab w:val="left" w:pos="618"/>
        </w:tabs>
        <w:jc w:val="both"/>
      </w:pPr>
      <w:r w:rsidRPr="00CA02A9">
        <w:rPr>
          <w:lang w:val="en-US"/>
        </w:rPr>
        <w:t>Intel</w:t>
      </w:r>
      <w:r w:rsidRPr="0075137E">
        <w:t xml:space="preserve">® </w:t>
      </w:r>
      <w:r w:rsidRPr="00CA02A9">
        <w:rPr>
          <w:lang w:val="en-US"/>
        </w:rPr>
        <w:t>HD</w:t>
      </w:r>
      <w:r w:rsidRPr="0075137E">
        <w:t xml:space="preserve"> </w:t>
      </w:r>
      <w:r w:rsidRPr="00CA02A9">
        <w:rPr>
          <w:lang w:val="en-US"/>
        </w:rPr>
        <w:t>Graphics</w:t>
      </w:r>
      <w:r w:rsidRPr="0075137E">
        <w:t xml:space="preserve"> </w:t>
      </w:r>
      <w:r w:rsidRPr="00CA02A9">
        <w:rPr>
          <w:lang w:val="en-US"/>
        </w:rPr>
        <w:t>Integrated</w:t>
      </w:r>
      <w:r w:rsidRPr="0075137E">
        <w:t xml:space="preserve"> </w:t>
      </w:r>
      <w:r w:rsidRPr="00CA02A9">
        <w:rPr>
          <w:lang w:val="en-US"/>
        </w:rPr>
        <w:t>Video</w:t>
      </w:r>
    </w:p>
    <w:p w:rsidR="007D7961" w:rsidRPr="00064D7B" w:rsidRDefault="007D7961" w:rsidP="007D7961">
      <w:pPr>
        <w:tabs>
          <w:tab w:val="left" w:pos="618"/>
        </w:tabs>
        <w:jc w:val="both"/>
        <w:rPr>
          <w:u w:val="single"/>
        </w:rPr>
      </w:pPr>
      <w:r>
        <w:rPr>
          <w:u w:val="single"/>
        </w:rPr>
        <w:t>Аудио</w:t>
      </w:r>
    </w:p>
    <w:p w:rsidR="007D7961" w:rsidRDefault="007D7961" w:rsidP="007D7961">
      <w:pPr>
        <w:tabs>
          <w:tab w:val="left" w:pos="618"/>
        </w:tabs>
        <w:jc w:val="both"/>
      </w:pPr>
      <w:r>
        <w:t xml:space="preserve">Звук - 8-канальный </w:t>
      </w:r>
      <w:proofErr w:type="spellStart"/>
      <w:r>
        <w:t>кодек.Передача</w:t>
      </w:r>
      <w:proofErr w:type="spellEnd"/>
      <w:r>
        <w:t xml:space="preserve"> звука осуществляется только через разъемы HDMI, или выход на наушники</w:t>
      </w:r>
    </w:p>
    <w:p w:rsidR="007D7961" w:rsidRDefault="007D7961" w:rsidP="007D7961">
      <w:pPr>
        <w:tabs>
          <w:tab w:val="left" w:pos="618"/>
        </w:tabs>
        <w:jc w:val="both"/>
        <w:rPr>
          <w:u w:val="single"/>
        </w:rPr>
      </w:pPr>
      <w:r>
        <w:rPr>
          <w:u w:val="single"/>
        </w:rPr>
        <w:t>Поддержка памяти</w:t>
      </w:r>
    </w:p>
    <w:p w:rsidR="007D7961" w:rsidRDefault="007D7961" w:rsidP="007D7961">
      <w:pPr>
        <w:tabs>
          <w:tab w:val="left" w:pos="618"/>
        </w:tabs>
        <w:jc w:val="both"/>
      </w:pPr>
      <w:r>
        <w:t>Количество разъемов DDR4 2 (двухканальный контроллер)</w:t>
      </w:r>
    </w:p>
    <w:p w:rsidR="007D7961" w:rsidRDefault="007D7961" w:rsidP="007D7961">
      <w:pPr>
        <w:tabs>
          <w:tab w:val="left" w:pos="618"/>
        </w:tabs>
        <w:jc w:val="both"/>
      </w:pPr>
      <w:r>
        <w:t>Тип поддерживаемой памяти</w:t>
      </w:r>
      <w:r>
        <w:tab/>
        <w:t>DDR4</w:t>
      </w:r>
    </w:p>
    <w:p w:rsidR="007D7961" w:rsidRDefault="007D7961" w:rsidP="007D7961">
      <w:pPr>
        <w:tabs>
          <w:tab w:val="left" w:pos="618"/>
        </w:tabs>
        <w:jc w:val="both"/>
      </w:pPr>
      <w:r>
        <w:t>Максимальные поддерживаемые стандарты памяти (DDR4 2666 МГц)</w:t>
      </w:r>
    </w:p>
    <w:p w:rsidR="007D7961" w:rsidRDefault="007D7961" w:rsidP="007D7961">
      <w:pPr>
        <w:tabs>
          <w:tab w:val="left" w:pos="618"/>
        </w:tabs>
        <w:jc w:val="both"/>
      </w:pPr>
      <w:r>
        <w:rPr>
          <w:lang w:val="en-US"/>
        </w:rPr>
        <w:t>Min</w:t>
      </w:r>
      <w:r>
        <w:t xml:space="preserve"> объем оперативной памяти</w:t>
      </w:r>
      <w:r>
        <w:tab/>
        <w:t xml:space="preserve">не менее 32 Гб </w:t>
      </w:r>
    </w:p>
    <w:p w:rsidR="007D7961" w:rsidRDefault="007D7961" w:rsidP="007D7961">
      <w:pPr>
        <w:tabs>
          <w:tab w:val="left" w:pos="618"/>
        </w:tabs>
        <w:jc w:val="both"/>
        <w:rPr>
          <w:u w:val="single"/>
        </w:rPr>
      </w:pPr>
      <w:proofErr w:type="spellStart"/>
      <w:r>
        <w:t>Max</w:t>
      </w:r>
      <w:proofErr w:type="spellEnd"/>
      <w:r>
        <w:t xml:space="preserve"> объем оперативной памяти</w:t>
      </w:r>
      <w:r>
        <w:tab/>
        <w:t xml:space="preserve">не более 64 Гб </w:t>
      </w:r>
      <w:r>
        <w:rPr>
          <w:u w:val="single"/>
        </w:rPr>
        <w:t>Дисковая система</w:t>
      </w:r>
    </w:p>
    <w:p w:rsidR="007D7961" w:rsidRPr="003D7AC1" w:rsidRDefault="007D7961" w:rsidP="007D7961">
      <w:pPr>
        <w:tabs>
          <w:tab w:val="left" w:pos="618"/>
        </w:tabs>
        <w:jc w:val="both"/>
      </w:pPr>
      <w:r>
        <w:t>Внутренних отсеков 2,5 дюйма</w:t>
      </w:r>
      <w:r>
        <w:tab/>
        <w:t>1 (поддерживаются HDD или SSD формата 2.5" толщиной 7.0/9.5 мм), объем жесткого диска</w:t>
      </w:r>
      <w:r w:rsidRPr="0075137E">
        <w:t xml:space="preserve"> </w:t>
      </w:r>
      <w:r>
        <w:rPr>
          <w:lang w:val="en-US"/>
        </w:rPr>
        <w:t>SSD</w:t>
      </w:r>
      <w:r>
        <w:t xml:space="preserve"> не менее 512</w:t>
      </w:r>
      <w:r w:rsidRPr="003D7AC1">
        <w:t xml:space="preserve"> </w:t>
      </w:r>
      <w:r>
        <w:rPr>
          <w:lang w:val="en-US"/>
        </w:rPr>
        <w:t>GB</w:t>
      </w:r>
      <w:r w:rsidRPr="003D7AC1">
        <w:t xml:space="preserve"> </w:t>
      </w:r>
      <w:r>
        <w:t xml:space="preserve">и не более 1000 </w:t>
      </w:r>
      <w:r>
        <w:rPr>
          <w:lang w:val="en-US"/>
        </w:rPr>
        <w:t>GB</w:t>
      </w:r>
    </w:p>
    <w:p w:rsidR="007D7961" w:rsidRDefault="007D7961" w:rsidP="007D7961">
      <w:pPr>
        <w:tabs>
          <w:tab w:val="left" w:pos="618"/>
        </w:tabs>
        <w:jc w:val="both"/>
      </w:pPr>
      <w:r>
        <w:lastRenderedPageBreak/>
        <w:t xml:space="preserve">SATA/PCI-E с поддержкой карт </w:t>
      </w:r>
      <w:proofErr w:type="spellStart"/>
      <w:r>
        <w:t>Type</w:t>
      </w:r>
      <w:proofErr w:type="spellEnd"/>
      <w:r>
        <w:t xml:space="preserve"> 2242/2280</w:t>
      </w:r>
    </w:p>
    <w:p w:rsidR="007D7961" w:rsidRPr="007C087B" w:rsidRDefault="007D7961" w:rsidP="007D7961">
      <w:pPr>
        <w:tabs>
          <w:tab w:val="left" w:pos="618"/>
        </w:tabs>
        <w:jc w:val="both"/>
      </w:pPr>
      <w:r>
        <w:rPr>
          <w:lang w:val="en-US"/>
        </w:rPr>
        <w:t>Intel</w:t>
      </w:r>
      <w:r w:rsidRPr="007C087B">
        <w:t xml:space="preserve"> </w:t>
      </w:r>
      <w:proofErr w:type="spellStart"/>
      <w:r>
        <w:rPr>
          <w:lang w:val="en-US"/>
        </w:rPr>
        <w:t>Optane</w:t>
      </w:r>
      <w:proofErr w:type="spellEnd"/>
      <w:r w:rsidRPr="007C087B">
        <w:t xml:space="preserve"> </w:t>
      </w:r>
      <w:r>
        <w:rPr>
          <w:lang w:val="en-US"/>
        </w:rPr>
        <w:t>Memory</w:t>
      </w:r>
      <w:r w:rsidRPr="007C087B">
        <w:t xml:space="preserve"> - </w:t>
      </w:r>
      <w:r>
        <w:t>Поддерживается</w:t>
      </w:r>
    </w:p>
    <w:p w:rsidR="007D7961" w:rsidRPr="007C087B" w:rsidRDefault="007D7961" w:rsidP="007D7961">
      <w:pPr>
        <w:tabs>
          <w:tab w:val="left" w:pos="618"/>
        </w:tabs>
        <w:jc w:val="both"/>
      </w:pPr>
      <w:r>
        <w:rPr>
          <w:lang w:val="en-US"/>
        </w:rPr>
        <w:t>SATA</w:t>
      </w:r>
      <w:r w:rsidRPr="007C087B">
        <w:t xml:space="preserve"> </w:t>
      </w:r>
      <w:proofErr w:type="gramStart"/>
      <w:r w:rsidRPr="007C087B">
        <w:t>6</w:t>
      </w:r>
      <w:r>
        <w:rPr>
          <w:lang w:val="en-US"/>
        </w:rPr>
        <w:t>Gb</w:t>
      </w:r>
      <w:r w:rsidRPr="007C087B">
        <w:t>/</w:t>
      </w:r>
      <w:proofErr w:type="gramEnd"/>
      <w:r>
        <w:rPr>
          <w:lang w:val="en-US"/>
        </w:rPr>
        <w:t>s</w:t>
      </w:r>
      <w:r w:rsidRPr="007C087B">
        <w:t xml:space="preserve"> - 1 </w:t>
      </w:r>
      <w:r>
        <w:t>канал</w:t>
      </w:r>
    </w:p>
    <w:p w:rsidR="007D7961" w:rsidRDefault="007D7961" w:rsidP="007D7961">
      <w:pPr>
        <w:tabs>
          <w:tab w:val="left" w:pos="618"/>
        </w:tabs>
        <w:jc w:val="both"/>
        <w:rPr>
          <w:u w:val="single"/>
        </w:rPr>
      </w:pPr>
      <w:r>
        <w:rPr>
          <w:u w:val="single"/>
        </w:rPr>
        <w:t>Эксплуатационные параметры</w:t>
      </w:r>
    </w:p>
    <w:p w:rsidR="007D7961" w:rsidRDefault="007D7961" w:rsidP="007D7961">
      <w:pPr>
        <w:tabs>
          <w:tab w:val="left" w:pos="618"/>
        </w:tabs>
        <w:jc w:val="both"/>
      </w:pPr>
      <w:r>
        <w:t>Рабочая температура</w:t>
      </w:r>
      <w:r>
        <w:tab/>
        <w:t>не более 0 ~ 40 °C.</w:t>
      </w:r>
    </w:p>
    <w:p w:rsidR="007D7961" w:rsidRPr="0063585E" w:rsidRDefault="007D7961" w:rsidP="007D7961">
      <w:pPr>
        <w:tabs>
          <w:tab w:val="left" w:pos="618"/>
        </w:tabs>
        <w:jc w:val="both"/>
        <w:rPr>
          <w:u w:val="single"/>
        </w:rPr>
      </w:pPr>
      <w:r>
        <w:rPr>
          <w:u w:val="single"/>
        </w:rPr>
        <w:t>Коммуникации</w:t>
      </w:r>
    </w:p>
    <w:p w:rsidR="007D7961" w:rsidRDefault="007D7961" w:rsidP="007D7961">
      <w:pPr>
        <w:tabs>
          <w:tab w:val="left" w:pos="618"/>
        </w:tabs>
        <w:jc w:val="both"/>
      </w:pPr>
      <w:r>
        <w:t>Сеть</w:t>
      </w:r>
      <w:r>
        <w:tab/>
        <w:t>не менее 1 Гбит/с</w:t>
      </w:r>
    </w:p>
    <w:p w:rsidR="007D7961" w:rsidRDefault="007D7961" w:rsidP="007D7961">
      <w:pPr>
        <w:tabs>
          <w:tab w:val="left" w:pos="618"/>
        </w:tabs>
        <w:jc w:val="both"/>
        <w:rPr>
          <w:u w:val="single"/>
        </w:rPr>
      </w:pPr>
      <w:r>
        <w:rPr>
          <w:u w:val="single"/>
        </w:rPr>
        <w:t>Интерфейс, разъемы и выходы</w:t>
      </w:r>
    </w:p>
    <w:p w:rsidR="007D7961" w:rsidRDefault="007D7961" w:rsidP="007D7961">
      <w:pPr>
        <w:tabs>
          <w:tab w:val="left" w:pos="618"/>
        </w:tabs>
        <w:jc w:val="both"/>
      </w:pPr>
      <w:r>
        <w:t>Разъемы HDMI, VGA и DVI-D для подключения дополнительных мониторов на задней панели</w:t>
      </w:r>
    </w:p>
    <w:p w:rsidR="007D7961" w:rsidRDefault="007D7961" w:rsidP="007D7961">
      <w:pPr>
        <w:tabs>
          <w:tab w:val="left" w:pos="618"/>
        </w:tabs>
        <w:jc w:val="both"/>
      </w:pPr>
      <w:r>
        <w:t>4 порта USB 3.1 на задней панели</w:t>
      </w:r>
    </w:p>
    <w:p w:rsidR="007D7961" w:rsidRDefault="007D7961" w:rsidP="007D7961">
      <w:pPr>
        <w:tabs>
          <w:tab w:val="left" w:pos="618"/>
        </w:tabs>
        <w:jc w:val="both"/>
      </w:pPr>
      <w:r>
        <w:t>2 порта USB 2.0 на задней панели</w:t>
      </w:r>
    </w:p>
    <w:p w:rsidR="007D7961" w:rsidRDefault="007D7961" w:rsidP="007D7961">
      <w:pPr>
        <w:tabs>
          <w:tab w:val="left" w:pos="618"/>
        </w:tabs>
        <w:jc w:val="both"/>
      </w:pPr>
      <w:r>
        <w:t>2 порта USB 3.1 на передней панели</w:t>
      </w:r>
    </w:p>
    <w:p w:rsidR="007D7961" w:rsidRDefault="007D7961" w:rsidP="007D7961">
      <w:pPr>
        <w:tabs>
          <w:tab w:val="left" w:pos="618"/>
        </w:tabs>
        <w:jc w:val="both"/>
      </w:pPr>
      <w:r>
        <w:t>2 порта USB 2.0 на передней панели</w:t>
      </w:r>
    </w:p>
    <w:p w:rsidR="007D7961" w:rsidRDefault="007D7961" w:rsidP="007D7961">
      <w:pPr>
        <w:tabs>
          <w:tab w:val="left" w:pos="618"/>
        </w:tabs>
        <w:jc w:val="both"/>
      </w:pPr>
      <w:r>
        <w:t xml:space="preserve">1 порт </w:t>
      </w:r>
      <w:proofErr w:type="spellStart"/>
      <w:r>
        <w:t>Type</w:t>
      </w:r>
      <w:proofErr w:type="spellEnd"/>
      <w:r>
        <w:t xml:space="preserve"> </w:t>
      </w:r>
      <w:proofErr w:type="gramStart"/>
      <w:r>
        <w:t>С</w:t>
      </w:r>
      <w:proofErr w:type="gramEnd"/>
      <w:r>
        <w:t xml:space="preserve"> на передней панели</w:t>
      </w:r>
    </w:p>
    <w:p w:rsidR="007D7961" w:rsidRDefault="007D7961" w:rsidP="007D7961">
      <w:pPr>
        <w:tabs>
          <w:tab w:val="left" w:pos="618"/>
        </w:tabs>
        <w:jc w:val="both"/>
      </w:pPr>
      <w:r>
        <w:t xml:space="preserve">Разъем RJ-45 для подключения к локальной сети </w:t>
      </w:r>
      <w:proofErr w:type="spellStart"/>
      <w:r>
        <w:t>Ethernet</w:t>
      </w:r>
      <w:proofErr w:type="spellEnd"/>
    </w:p>
    <w:p w:rsidR="007D7961" w:rsidRDefault="007D7961" w:rsidP="007D7961">
      <w:pPr>
        <w:tabs>
          <w:tab w:val="left" w:pos="618"/>
        </w:tabs>
        <w:jc w:val="both"/>
      </w:pPr>
      <w:r>
        <w:t>Разъем PS/2 для подключения клавиатуры или мыши</w:t>
      </w:r>
    </w:p>
    <w:p w:rsidR="007D7961" w:rsidRPr="0063585E" w:rsidRDefault="007D7961" w:rsidP="007D7961">
      <w:pPr>
        <w:tabs>
          <w:tab w:val="left" w:pos="618"/>
        </w:tabs>
        <w:jc w:val="both"/>
        <w:rPr>
          <w:lang w:val="en-US"/>
        </w:rPr>
      </w:pPr>
      <w:r>
        <w:t>Разъемы</w:t>
      </w:r>
      <w:r w:rsidRPr="0063585E">
        <w:rPr>
          <w:lang w:val="en-US"/>
        </w:rPr>
        <w:t xml:space="preserve"> </w:t>
      </w:r>
      <w:r>
        <w:t>звуковой</w:t>
      </w:r>
      <w:r w:rsidRPr="0063585E">
        <w:rPr>
          <w:lang w:val="en-US"/>
        </w:rPr>
        <w:t xml:space="preserve"> </w:t>
      </w:r>
      <w:r>
        <w:t>карты</w:t>
      </w:r>
      <w:r w:rsidRPr="0063585E">
        <w:rPr>
          <w:lang w:val="en-US"/>
        </w:rPr>
        <w:t xml:space="preserve"> (Line in / Front Speaker / Microphone)</w:t>
      </w:r>
    </w:p>
    <w:p w:rsidR="007D7961" w:rsidRDefault="007D7961" w:rsidP="007D7961">
      <w:pPr>
        <w:tabs>
          <w:tab w:val="left" w:pos="618"/>
        </w:tabs>
        <w:jc w:val="both"/>
        <w:rPr>
          <w:u w:val="single"/>
        </w:rPr>
      </w:pPr>
      <w:r>
        <w:rPr>
          <w:u w:val="single"/>
        </w:rPr>
        <w:t>Прочие характеристики</w:t>
      </w:r>
    </w:p>
    <w:p w:rsidR="007D7961" w:rsidRDefault="007D7961" w:rsidP="007D7961">
      <w:pPr>
        <w:tabs>
          <w:tab w:val="left" w:pos="618"/>
        </w:tabs>
        <w:jc w:val="both"/>
      </w:pPr>
      <w:r>
        <w:t>Безопасность</w:t>
      </w:r>
      <w:r>
        <w:tab/>
        <w:t xml:space="preserve">Слот для </w:t>
      </w:r>
      <w:r>
        <w:rPr>
          <w:lang w:val="en-US"/>
        </w:rPr>
        <w:t>Kensington</w:t>
      </w:r>
      <w:r>
        <w:t xml:space="preserve"> </w:t>
      </w:r>
      <w:r>
        <w:rPr>
          <w:lang w:val="en-US"/>
        </w:rPr>
        <w:t>lock</w:t>
      </w:r>
      <w:r>
        <w:t xml:space="preserve"> </w:t>
      </w:r>
    </w:p>
    <w:p w:rsidR="007D7961" w:rsidRDefault="007D7961" w:rsidP="007D7961">
      <w:pPr>
        <w:tabs>
          <w:tab w:val="left" w:pos="618"/>
        </w:tabs>
        <w:jc w:val="both"/>
        <w:rPr>
          <w:u w:val="single"/>
        </w:rPr>
      </w:pPr>
      <w:r>
        <w:rPr>
          <w:u w:val="single"/>
        </w:rPr>
        <w:t>Корпус</w:t>
      </w:r>
    </w:p>
    <w:p w:rsidR="007D7961" w:rsidRDefault="007D7961" w:rsidP="007D7961">
      <w:pPr>
        <w:tabs>
          <w:tab w:val="left" w:pos="618"/>
        </w:tabs>
        <w:jc w:val="both"/>
      </w:pPr>
      <w:r>
        <w:t xml:space="preserve">Исполнение: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Factor</w:t>
      </w:r>
      <w:proofErr w:type="spellEnd"/>
    </w:p>
    <w:p w:rsidR="007D7961" w:rsidRDefault="007D7961" w:rsidP="007D7961">
      <w:pPr>
        <w:tabs>
          <w:tab w:val="left" w:pos="618"/>
        </w:tabs>
        <w:jc w:val="both"/>
      </w:pPr>
      <w:r>
        <w:t>Размеры корпуса: 112 × 337 × 368 мм (Ш × В × Г)</w:t>
      </w:r>
    </w:p>
    <w:p w:rsidR="007D7961" w:rsidRDefault="007D7961" w:rsidP="007D7961">
      <w:pPr>
        <w:tabs>
          <w:tab w:val="left" w:pos="618"/>
        </w:tabs>
        <w:jc w:val="both"/>
      </w:pPr>
      <w:r>
        <w:t>Размеры корпуса с учетом выступающих частей: 112 × 337 × 380 мм (Ш × В × Г)</w:t>
      </w:r>
    </w:p>
    <w:p w:rsidR="007D7961" w:rsidRDefault="007D7961" w:rsidP="007D7961">
      <w:pPr>
        <w:tabs>
          <w:tab w:val="left" w:pos="618"/>
        </w:tabs>
        <w:jc w:val="both"/>
      </w:pPr>
      <w:r>
        <w:t>Блок питание мощностью не менее 300 Вт</w:t>
      </w:r>
    </w:p>
    <w:p w:rsidR="007D7961" w:rsidRDefault="007D7961" w:rsidP="007D7961">
      <w:pPr>
        <w:tabs>
          <w:tab w:val="left" w:pos="618"/>
        </w:tabs>
        <w:jc w:val="both"/>
      </w:pPr>
      <w:r>
        <w:t>Корпусной вентилятор размером 60×60×15</w:t>
      </w:r>
    </w:p>
    <w:p w:rsidR="007D7961" w:rsidRDefault="007D7961" w:rsidP="007D7961">
      <w:pPr>
        <w:tabs>
          <w:tab w:val="right" w:pos="8158"/>
        </w:tabs>
      </w:pPr>
      <w:r>
        <w:t xml:space="preserve">На передней панели расположены два порта USB 3.1, два порта USB 2.0, один порт </w:t>
      </w:r>
      <w:proofErr w:type="spellStart"/>
      <w:r>
        <w:t>Type</w:t>
      </w:r>
      <w:proofErr w:type="spellEnd"/>
      <w:r>
        <w:t xml:space="preserve"> C и разъемы для подключения наушников и микрофона.</w:t>
      </w:r>
    </w:p>
    <w:p w:rsidR="00156B4D" w:rsidRDefault="00156B4D" w:rsidP="00770A97">
      <w:pPr>
        <w:ind w:firstLine="720"/>
        <w:jc w:val="both"/>
        <w:rPr>
          <w:rFonts w:eastAsia="Calibri"/>
        </w:rPr>
      </w:pPr>
    </w:p>
    <w:p w:rsidR="00BD356C" w:rsidRDefault="00BD356C" w:rsidP="00A97305">
      <w:pPr>
        <w:ind w:firstLine="720"/>
        <w:jc w:val="both"/>
        <w:rPr>
          <w:rFonts w:eastAsia="Calibri"/>
        </w:rPr>
      </w:pPr>
    </w:p>
    <w:p w:rsidR="00BD356C" w:rsidRDefault="00BD356C" w:rsidP="00A97305">
      <w:pPr>
        <w:ind w:firstLine="720"/>
        <w:jc w:val="both"/>
        <w:rPr>
          <w:rFonts w:eastAsia="Calibri"/>
        </w:rPr>
      </w:pPr>
    </w:p>
    <w:sectPr w:rsidR="00BD356C" w:rsidSect="009B3C4E">
      <w:pgSz w:w="11906" w:h="16838" w:code="9"/>
      <w:pgMar w:top="851" w:right="851" w:bottom="851" w:left="1418" w:header="709" w:footer="17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97798"/>
    <w:multiLevelType w:val="hybridMultilevel"/>
    <w:tmpl w:val="79701E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55E27"/>
    <w:multiLevelType w:val="hybridMultilevel"/>
    <w:tmpl w:val="6FF80A2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87335"/>
    <w:multiLevelType w:val="hybridMultilevel"/>
    <w:tmpl w:val="FA96D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A1E45"/>
    <w:multiLevelType w:val="multilevel"/>
    <w:tmpl w:val="C4CE97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10B38D8"/>
    <w:multiLevelType w:val="multilevel"/>
    <w:tmpl w:val="D750C1A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6F0304A3"/>
    <w:multiLevelType w:val="multilevel"/>
    <w:tmpl w:val="B77CBC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75771B41"/>
    <w:multiLevelType w:val="multilevel"/>
    <w:tmpl w:val="357AE47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5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AF"/>
    <w:rsid w:val="00074677"/>
    <w:rsid w:val="00156B4D"/>
    <w:rsid w:val="00222454"/>
    <w:rsid w:val="00343AAF"/>
    <w:rsid w:val="00364EBF"/>
    <w:rsid w:val="003A78FD"/>
    <w:rsid w:val="003D000F"/>
    <w:rsid w:val="00407679"/>
    <w:rsid w:val="00496F66"/>
    <w:rsid w:val="00581813"/>
    <w:rsid w:val="005B4409"/>
    <w:rsid w:val="005B5B59"/>
    <w:rsid w:val="0060123C"/>
    <w:rsid w:val="00727C1D"/>
    <w:rsid w:val="00733CDD"/>
    <w:rsid w:val="00753A7B"/>
    <w:rsid w:val="00770A97"/>
    <w:rsid w:val="007C087B"/>
    <w:rsid w:val="007D7961"/>
    <w:rsid w:val="008031E4"/>
    <w:rsid w:val="00957F4F"/>
    <w:rsid w:val="00971286"/>
    <w:rsid w:val="009B3C4E"/>
    <w:rsid w:val="00A02995"/>
    <w:rsid w:val="00A21AEA"/>
    <w:rsid w:val="00A231F9"/>
    <w:rsid w:val="00A321FE"/>
    <w:rsid w:val="00A427EC"/>
    <w:rsid w:val="00A516AB"/>
    <w:rsid w:val="00A97305"/>
    <w:rsid w:val="00B556FA"/>
    <w:rsid w:val="00BD356C"/>
    <w:rsid w:val="00C6676C"/>
    <w:rsid w:val="00C801F3"/>
    <w:rsid w:val="00D9317B"/>
    <w:rsid w:val="00DA073D"/>
    <w:rsid w:val="00E5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4E95C-CD16-4A5D-9B89-D3615889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нак,Заголовок 2 Знак Знак Знак Знак,h2,h21,5,Заголовок пункта (1.1),222,Reset numbering,Подраздел,Раздел,РРаздел"/>
    <w:basedOn w:val="a"/>
    <w:next w:val="a"/>
    <w:link w:val="20"/>
    <w:qFormat/>
    <w:rsid w:val="00343AA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 Знак,Заголовок 2 Знак Знак Знак Знак Знак,h2 Знак,h21 Знак,5 Знак,Заголовок пункта (1.1) Знак,222 Знак,Reset numbering Знак,Подраздел Знак,Раздел Знак,РРаздел Знак"/>
    <w:basedOn w:val="a0"/>
    <w:link w:val="2"/>
    <w:rsid w:val="00343AAF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343AAF"/>
    <w:pPr>
      <w:widowControl w:val="0"/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43A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18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8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70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k-sakhal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Марина Николаевна</dc:creator>
  <cp:lastModifiedBy>IvanovaKS</cp:lastModifiedBy>
  <cp:revision>12</cp:revision>
  <cp:lastPrinted>2022-05-30T23:23:00Z</cp:lastPrinted>
  <dcterms:created xsi:type="dcterms:W3CDTF">2021-04-12T05:00:00Z</dcterms:created>
  <dcterms:modified xsi:type="dcterms:W3CDTF">2022-05-31T03:07:00Z</dcterms:modified>
</cp:coreProperties>
</file>